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62" w:tblpY="671"/>
        <w:tblOverlap w:val="never"/>
        <w:tblW w:w="5372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304"/>
        <w:gridCol w:w="971"/>
        <w:gridCol w:w="946"/>
        <w:gridCol w:w="1130"/>
        <w:gridCol w:w="1091"/>
        <w:gridCol w:w="1184"/>
        <w:gridCol w:w="1192"/>
        <w:gridCol w:w="3450"/>
        <w:gridCol w:w="32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4" w:type="dxa"/>
            <w:vAlign w:val="center"/>
          </w:tcPr>
          <w:p>
            <w:pPr>
              <w:pStyle w:val="7"/>
              <w:spacing w:before="140"/>
              <w:ind w:left="-44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>
            <w:pPr>
              <w:pStyle w:val="7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>
            <w:pPr>
              <w:pStyle w:val="7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>
            <w:pPr>
              <w:pStyle w:val="7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pStyle w:val="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3262" w:type="dxa"/>
            <w:vAlign w:val="center"/>
          </w:tcPr>
          <w:p>
            <w:pPr>
              <w:pStyle w:val="7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>
            <w:pPr>
              <w:pStyle w:val="7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4" w:type="dxa"/>
            <w:vAlign w:val="center"/>
          </w:tcPr>
          <w:p>
            <w:pPr>
              <w:pStyle w:val="7"/>
              <w:spacing w:before="140"/>
              <w:ind w:left="-44"/>
              <w:jc w:val="center"/>
            </w:pPr>
            <w:r>
              <w:rPr>
                <w:rFonts w:hint="eastAsia" w:ascii="等线" w:hAnsi="等线" w:eastAsia="等线" w:cs="Calibri"/>
                <w:color w:val="000000"/>
              </w:rPr>
              <w:t>1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201614551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穆星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何红渠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pStyle w:val="7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>
            <w:pPr>
              <w:pStyle w:val="7"/>
              <w:ind w:right="127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6月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5</w:t>
            </w:r>
          </w:p>
          <w:p>
            <w:pPr>
              <w:pStyle w:val="7"/>
              <w:ind w:right="12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（周</w:t>
            </w:r>
            <w:r>
              <w:rPr>
                <w:rFonts w:hint="eastAsia"/>
                <w:b/>
                <w:bCs/>
                <w:lang w:val="en-US"/>
              </w:rPr>
              <w:t>日</w:t>
            </w:r>
            <w:r>
              <w:rPr>
                <w:rFonts w:hint="eastAsia"/>
                <w:b/>
                <w:bCs/>
              </w:rPr>
              <w:t>）</w:t>
            </w:r>
          </w:p>
          <w:p>
            <w:pPr>
              <w:pStyle w:val="7"/>
              <w:ind w:right="127"/>
              <w:jc w:val="center"/>
            </w:pPr>
            <w:r>
              <w:rPr>
                <w:rFonts w:hint="eastAsia"/>
                <w:b/>
                <w:bCs/>
              </w:rPr>
              <w:t>上午</w:t>
            </w:r>
            <w:r>
              <w:rPr>
                <w:rFonts w:hint="eastAsia"/>
                <w:b/>
                <w:bCs/>
                <w:lang w:val="en-US"/>
              </w:rPr>
              <w:t>9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  <w:b/>
                <w:bCs/>
                <w:lang w:val="en-US"/>
              </w:rPr>
              <w:t>0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pStyle w:val="7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>
            <w:pPr>
              <w:pStyle w:val="7"/>
              <w:jc w:val="center"/>
              <w:rPr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430会议室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Style w:val="10"/>
                <w:rFonts w:hint="default"/>
                <w:lang w:val="en-US" w:bidi="ar"/>
              </w:rPr>
              <w:t>Z集团公司融资策略优化研究</w:t>
            </w:r>
          </w:p>
        </w:tc>
        <w:tc>
          <w:tcPr>
            <w:tcW w:w="3262" w:type="dxa"/>
            <w:vMerge w:val="restart"/>
          </w:tcPr>
          <w:p>
            <w:pPr>
              <w:pStyle w:val="7"/>
              <w:spacing w:before="104"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</w:p>
          <w:p>
            <w:pPr>
              <w:pStyle w:val="7"/>
              <w:spacing w:before="104"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</w:p>
          <w:p>
            <w:pPr>
              <w:pStyle w:val="7"/>
              <w:spacing w:before="104" w:line="242" w:lineRule="auto"/>
              <w:ind w:left="10" w:right="-15"/>
              <w:jc w:val="both"/>
            </w:pPr>
            <w:r>
              <w:rPr>
                <w:rFonts w:hint="eastAsia"/>
                <w:spacing w:val="-8"/>
                <w:lang w:val="en-US"/>
              </w:rPr>
              <w:t xml:space="preserve">李世辉  </w:t>
            </w:r>
            <w:r>
              <w:rPr>
                <w:rFonts w:hint="eastAsia"/>
                <w:spacing w:val="-8"/>
              </w:rPr>
              <w:t>教授 中南大</w:t>
            </w:r>
            <w:r>
              <w:rPr>
                <w:rFonts w:hint="eastAsia"/>
              </w:rPr>
              <w:t>学</w:t>
            </w:r>
          </w:p>
          <w:p>
            <w:pPr>
              <w:pStyle w:val="7"/>
              <w:spacing w:before="1"/>
              <w:rPr>
                <w:b/>
              </w:rPr>
            </w:pPr>
          </w:p>
          <w:p>
            <w:pPr>
              <w:pStyle w:val="7"/>
              <w:spacing w:line="242" w:lineRule="auto"/>
              <w:ind w:left="10"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</w:p>
          <w:p>
            <w:pPr>
              <w:pStyle w:val="7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 xml:space="preserve">何红渠 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>
            <w:pPr>
              <w:pStyle w:val="7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 xml:space="preserve">吴厚平  </w:t>
            </w:r>
            <w:r>
              <w:rPr>
                <w:rFonts w:hint="eastAsia"/>
              </w:rPr>
              <w:t>教授 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>
            <w:pPr>
              <w:pStyle w:val="7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</w:p>
          <w:p>
            <w:pPr>
              <w:pStyle w:val="7"/>
              <w:tabs>
                <w:tab w:val="left" w:pos="2175"/>
              </w:tabs>
              <w:spacing w:before="1"/>
              <w:ind w:left="15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秘书：</w:t>
            </w:r>
          </w:p>
          <w:p>
            <w:pPr>
              <w:pStyle w:val="7"/>
              <w:tabs>
                <w:tab w:val="left" w:pos="2206"/>
              </w:tabs>
              <w:spacing w:line="242" w:lineRule="auto"/>
              <w:ind w:left="1126" w:right="28" w:hanging="1080"/>
            </w:pPr>
            <w:r>
              <w:rPr>
                <w:rFonts w:hint="eastAsia"/>
                <w:lang w:val="en-US"/>
              </w:rPr>
              <w:t>张波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讲师 </w:t>
            </w:r>
            <w:r>
              <w:rPr>
                <w:rFonts w:hint="eastAsia"/>
              </w:rPr>
              <w:t>中南大学</w:t>
            </w:r>
          </w:p>
          <w:p>
            <w:pPr>
              <w:pStyle w:val="7"/>
              <w:tabs>
                <w:tab w:val="left" w:pos="2206"/>
              </w:tabs>
              <w:spacing w:line="242" w:lineRule="auto"/>
              <w:ind w:left="1126" w:right="28" w:hanging="1080"/>
              <w:rPr>
                <w:lang w:val="en-US"/>
              </w:rPr>
            </w:pPr>
            <w:r>
              <w:rPr>
                <w:rFonts w:hint="eastAsia"/>
              </w:rPr>
              <w:t>电话：</w:t>
            </w:r>
            <w:r>
              <w:t xml:space="preserve">  </w:t>
            </w:r>
            <w:r>
              <w:rPr>
                <w:lang w:val="en-US"/>
              </w:rPr>
              <w:t>13548572416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84" w:type="dxa"/>
            <w:vAlign w:val="center"/>
          </w:tcPr>
          <w:p>
            <w:pPr>
              <w:pStyle w:val="7"/>
              <w:spacing w:before="140"/>
              <w:ind w:left="-44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 w:cs="Calibri"/>
                <w:color w:val="000000"/>
              </w:rPr>
              <w:t>2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211614566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戴波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李世辉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pStyle w:val="7"/>
              <w:ind w:right="127"/>
              <w:jc w:val="center"/>
              <w:rPr>
                <w:lang w:val="en-US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pStyle w:val="7"/>
              <w:jc w:val="center"/>
            </w:pP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textAlignment w:val="center"/>
              <w:rPr>
                <w:color w:val="000000"/>
                <w:lang w:val="en-US" w:bidi="ar"/>
              </w:rPr>
            </w:pPr>
            <w:r>
              <w:rPr>
                <w:rStyle w:val="10"/>
                <w:rFonts w:hint="default"/>
                <w:lang w:val="en-US" w:bidi="ar"/>
              </w:rPr>
              <w:t>H人力资源管理公司猎头业务发展战略研究</w:t>
            </w:r>
          </w:p>
        </w:tc>
        <w:tc>
          <w:tcPr>
            <w:tcW w:w="3262" w:type="dxa"/>
            <w:vMerge w:val="continue"/>
          </w:tcPr>
          <w:p>
            <w:pPr>
              <w:pStyle w:val="7"/>
              <w:tabs>
                <w:tab w:val="left" w:pos="2206"/>
              </w:tabs>
              <w:spacing w:line="242" w:lineRule="auto"/>
              <w:ind w:left="1126" w:right="28" w:hanging="1080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84" w:type="dxa"/>
            <w:vAlign w:val="center"/>
          </w:tcPr>
          <w:p>
            <w:pPr>
              <w:pStyle w:val="7"/>
              <w:spacing w:before="141"/>
              <w:ind w:left="-44"/>
              <w:jc w:val="center"/>
            </w:pPr>
            <w:r>
              <w:rPr>
                <w:rFonts w:hint="eastAsia" w:ascii="等线" w:hAnsi="等线" w:eastAsia="等线" w:cs="Calibri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211614415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康宁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李世辉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continue"/>
          </w:tcPr>
          <w:p/>
        </w:tc>
        <w:tc>
          <w:tcPr>
            <w:tcW w:w="1182" w:type="dxa"/>
            <w:vMerge w:val="continue"/>
          </w:tcPr>
          <w:p/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Style w:val="9"/>
                <w:rFonts w:hint="eastAsia"/>
                <w:lang w:val="en-US"/>
              </w:rPr>
              <w:t>开题</w:t>
            </w:r>
          </w:p>
        </w:tc>
        <w:tc>
          <w:tcPr>
            <w:tcW w:w="3445" w:type="dxa"/>
          </w:tcPr>
          <w:p>
            <w:pPr>
              <w:widowControl/>
              <w:textAlignment w:val="top"/>
            </w:pPr>
            <w:r>
              <w:rPr>
                <w:rStyle w:val="10"/>
                <w:rFonts w:hint="default"/>
                <w:lang w:val="en-US" w:bidi="ar"/>
              </w:rPr>
              <w:t>X邮政公司代理金融营销策略优化研究</w:t>
            </w:r>
          </w:p>
        </w:tc>
        <w:tc>
          <w:tcPr>
            <w:tcW w:w="3262" w:type="dxa"/>
            <w:vMerge w:val="continue"/>
          </w:tcPr>
          <w:p/>
        </w:tc>
      </w:tr>
    </w:tbl>
    <w:p>
      <w:pPr>
        <w:pStyle w:val="2"/>
        <w:spacing w:before="1"/>
        <w:ind w:left="10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EMBA</w:t>
      </w:r>
      <w:r>
        <w:rPr>
          <w:sz w:val="28"/>
          <w:szCs w:val="28"/>
        </w:rPr>
        <w:t>学位论</w:t>
      </w:r>
      <w:r>
        <w:rPr>
          <w:rFonts w:hint="eastAsia"/>
          <w:sz w:val="28"/>
          <w:szCs w:val="28"/>
        </w:rPr>
        <w:t>文开题/预答辩公告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val="en-US"/>
        </w:rPr>
        <w:t>第五组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430会议室</w:t>
      </w:r>
      <w:r>
        <w:rPr>
          <w:rFonts w:hint="eastAsia"/>
          <w:sz w:val="28"/>
          <w:szCs w:val="28"/>
        </w:rPr>
        <w:t>）</w:t>
      </w:r>
    </w:p>
    <w:p/>
    <w:p>
      <w:pPr>
        <w:spacing w:line="360" w:lineRule="auto"/>
        <w:ind w:firstLine="562" w:firstLineChars="200"/>
        <w:jc w:val="center"/>
        <w:rPr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开题、预答辩须知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一、开题流程及要求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开题报告会由评审委员会主席主持，采取PPT汇报和答辩相结合的方式进行。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1.开题学生采用PPT进行汇报，时间不少于15分钟。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2.评审委员会专家就学生的学位论文开题报告进行提问，学生回答。答辩时间由评审委员会专家自行把握，一般为10分钟左右。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3.开题报告会结束后，评审委员会进行集体评议，给出评审意见、评定成绩等级，并在纸质《开题报告》上签字。同时，评审委员会主席还需要在《中南大学研究生学位论文开题报告情况汇总表》上签字。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二、开题材料提交及要求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开题报告会结束后，评审委员会秘书需要汇总开题报告会相关材料，具体包括：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1.开题报告过程中，在学生纸质版《开题报告》上填写专家评审意见和成绩等级，提醒评审委员会专家在学生《开题报告》上签字，并提醒评审委员会主席在《开题报告情况汇总表》上签字。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2.开题报告结束后，督促学生将开题报告专家签字页扫描拍照保存，并按专家意见认真修改《开题报告》，最终在开题报告结束后3天左右（最晚不超过6月29日），将学生的开题材料递交专业学位教育中心</w:t>
      </w:r>
      <w:r>
        <w:rPr>
          <w:lang w:val="en-US"/>
        </w:rPr>
        <w:t>EMBA项目办公室</w:t>
      </w:r>
      <w:r>
        <w:rPr>
          <w:rFonts w:hint="eastAsia"/>
          <w:lang w:val="en-US"/>
        </w:rPr>
        <w:t>（江湾楼221办公室-田红萍老师）。递交的开题材料可以是电子版。包括：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①最终版《开题报告》</w:t>
      </w:r>
      <w:r>
        <w:rPr>
          <w:rFonts w:hint="eastAsia"/>
          <w:lang w:val="en-US"/>
        </w:rPr>
        <w:t>（要求：开题报告内容按要求修改到位，专家签字完整，评审意见和成绩等级完整）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②《开题报告情况汇总表》</w:t>
      </w:r>
      <w:r>
        <w:rPr>
          <w:rFonts w:hint="eastAsia"/>
          <w:lang w:val="en-US"/>
        </w:rPr>
        <w:t>（要求：学生名单和成绩完整，秘书和主席签字完整）</w:t>
      </w:r>
    </w:p>
    <w:p>
      <w:pPr>
        <w:spacing w:line="360" w:lineRule="auto"/>
        <w:jc w:val="both"/>
        <w:rPr>
          <w:b/>
          <w:bCs/>
          <w:lang w:val="en-US"/>
        </w:rPr>
      </w:pP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三、预答辩流程及要求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预答辩报告会由评审委员会主席主持，采取PPT汇报和答辩相结合的方式进行。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1.预答辩学生采用PPT进行汇报，时间不少于20分钟。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2.评审委员会专家就学生的学位论文进行提问，学生回答。答辩时间由评审委员会专家自行把握，一般为10分钟左右。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rFonts w:hint="eastAsia"/>
          <w:lang w:val="en-US"/>
        </w:rPr>
        <w:t>3.预答辩报告会结束后，评审委员会进行集体评议，给出评审意见、评定结果，并在学生的《预审专家意见表》上签字。同时，评审委员会主席还需要在《中南大学研究生学位论文预答辩报告情况汇总表》上签字。</w:t>
      </w:r>
    </w:p>
    <w:p>
      <w:pPr>
        <w:spacing w:line="360" w:lineRule="auto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四、预答辩材料提交及要求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预答辩报告会结束后，评审委员会秘书需要汇总预答辩报告会相关材料，具体包括：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1.预答辩报告过程中，在学生纸质版《预审专家意见表》上填写专家评审意见和评定结果，提醒评审委员会专家在学生《预审专家意见表》上签字，并提醒评审委员会主席在《预答辩报告情况汇总表》上签字。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lang w:val="en-US"/>
        </w:rPr>
        <w:t>2.预答辩报告结束后，</w:t>
      </w:r>
      <w:r>
        <w:rPr>
          <w:rFonts w:hint="eastAsia"/>
          <w:b/>
          <w:bCs/>
          <w:lang w:val="en-US"/>
        </w:rPr>
        <w:t>督促学生将《预审专家意见表》扫描拍照保存，以备下学期答辩流程使用</w:t>
      </w:r>
      <w:r>
        <w:rPr>
          <w:rFonts w:hint="eastAsia"/>
          <w:lang w:val="en-US"/>
        </w:rPr>
        <w:t>。在预答辩报告结束后3天左右（最晚不超过6月29日），将学生的预答辩材料递交专业学位教育中心EMBA项目办公室（江湾楼221办公室-田红萍老师），</w:t>
      </w:r>
      <w:r>
        <w:rPr>
          <w:rFonts w:hint="eastAsia"/>
          <w:b/>
          <w:bCs/>
          <w:lang w:val="en-US"/>
        </w:rPr>
        <w:t>提交的材料可以是电子版（纸质版也可以）</w:t>
      </w:r>
      <w:r>
        <w:rPr>
          <w:rFonts w:hint="eastAsia"/>
          <w:lang w:val="en-US"/>
        </w:rPr>
        <w:t>。包括：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①《预审专家意见表》</w:t>
      </w:r>
      <w:r>
        <w:rPr>
          <w:rFonts w:hint="eastAsia"/>
          <w:lang w:val="en-US"/>
        </w:rPr>
        <w:t>（要求：信息完整、导师和专家签字完整，评审意见和成绩等级完整）。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②《预答辩报告情况汇总表》</w:t>
      </w:r>
      <w:r>
        <w:rPr>
          <w:rFonts w:hint="eastAsia"/>
          <w:lang w:val="en-US"/>
        </w:rPr>
        <w:t>（要求：学生名单和成绩完整，秘书和主席签字完整）。</w:t>
      </w:r>
    </w:p>
    <w:p>
      <w:pPr>
        <w:spacing w:line="360" w:lineRule="auto"/>
        <w:ind w:firstLine="440"/>
        <w:jc w:val="both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③社会实践材料</w:t>
      </w:r>
    </w:p>
    <w:p>
      <w:pPr>
        <w:spacing w:line="360" w:lineRule="auto"/>
        <w:ind w:firstLine="440"/>
        <w:jc w:val="both"/>
        <w:rPr>
          <w:lang w:val="en-US"/>
        </w:rPr>
      </w:pPr>
      <w:r>
        <w:rPr>
          <w:rFonts w:hint="eastAsia"/>
          <w:b/>
          <w:bCs/>
          <w:lang w:val="en-US"/>
        </w:rPr>
        <w:t>④学术交流材料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</w:p>
    <w:p>
      <w:pPr>
        <w:spacing w:line="360" w:lineRule="auto"/>
        <w:jc w:val="both"/>
        <w:rPr>
          <w:lang w:val="en-US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2272AB"/>
    <w:rsid w:val="00170A66"/>
    <w:rsid w:val="002272AB"/>
    <w:rsid w:val="00245A92"/>
    <w:rsid w:val="002806EA"/>
    <w:rsid w:val="002B170D"/>
    <w:rsid w:val="004C6BE2"/>
    <w:rsid w:val="00513854"/>
    <w:rsid w:val="005713D4"/>
    <w:rsid w:val="00B61157"/>
    <w:rsid w:val="00C47D6D"/>
    <w:rsid w:val="0D9C49BC"/>
    <w:rsid w:val="13851F55"/>
    <w:rsid w:val="194B7296"/>
    <w:rsid w:val="23A55D5C"/>
    <w:rsid w:val="32A4229E"/>
    <w:rsid w:val="3DF80EEB"/>
    <w:rsid w:val="6A2C5C67"/>
    <w:rsid w:val="7D3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6"/>
      <w:szCs w:val="36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NormalCharacter"/>
    <w:qFormat/>
    <w:uiPriority w:val="0"/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</Words>
  <Characters>1374</Characters>
  <Lines>11</Lines>
  <Paragraphs>3</Paragraphs>
  <TotalTime>31</TotalTime>
  <ScaleCrop>false</ScaleCrop>
  <LinksUpToDate>false</LinksUpToDate>
  <CharactersWithSpaces>1612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2023-06-19T08:36:00Z</dcterms:created>
  <dc:creator>User</dc:creator>
  <cp:lastModifiedBy>红烧鱼头</cp:lastModifiedBy>
  <cp:lastPrinted>2023-06-20T02:02:00Z</cp:lastPrinted>
  <dcterms:modified xsi:type="dcterms:W3CDTF">2023-06-22T12:11:15Z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EFF0AF24C7754D2B96C88411D9381E14_12</vt:lpwstr>
  </property>
</Properties>
</file>