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vertAnchor="text" w:horzAnchor="page" w:tblpX="1162" w:tblpY="671"/>
        <w:tblOverlap w:val="never"/>
        <w:tblW w:w="5428" w:type="pct"/>
        <w:tblInd w:w="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487"/>
        <w:gridCol w:w="1320"/>
        <w:gridCol w:w="979"/>
        <w:gridCol w:w="954"/>
        <w:gridCol w:w="1143"/>
        <w:gridCol w:w="1099"/>
        <w:gridCol w:w="1197"/>
        <w:gridCol w:w="1208"/>
        <w:gridCol w:w="3487"/>
        <w:gridCol w:w="3301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487" w:type="dxa"/>
            <w:vAlign w:val="center"/>
          </w:tcPr>
          <w:p>
            <w:pPr>
              <w:pStyle w:val="7"/>
              <w:spacing w:before="140"/>
              <w:ind w:left="-44"/>
              <w:jc w:val="center"/>
              <w:rPr>
                <w:b/>
                <w:bCs/>
                <w:lang w:val="en-US"/>
              </w:rPr>
            </w:pPr>
            <w:r>
              <w:rPr>
                <w:rFonts w:hint="eastAsia"/>
                <w:b/>
                <w:bCs/>
              </w:rPr>
              <w:t>序号</w:t>
            </w:r>
          </w:p>
        </w:tc>
        <w:tc>
          <w:tcPr>
            <w:tcW w:w="1318" w:type="dxa"/>
            <w:vAlign w:val="center"/>
          </w:tcPr>
          <w:p>
            <w:pPr>
              <w:widowControl/>
              <w:jc w:val="center"/>
              <w:textAlignment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学号</w:t>
            </w:r>
          </w:p>
        </w:tc>
        <w:tc>
          <w:tcPr>
            <w:tcW w:w="978" w:type="dxa"/>
            <w:vAlign w:val="center"/>
          </w:tcPr>
          <w:p>
            <w:pPr>
              <w:widowControl/>
              <w:jc w:val="center"/>
              <w:textAlignment w:val="center"/>
              <w:rPr>
                <w:b/>
                <w:bCs/>
                <w:lang w:val="en-US"/>
              </w:rPr>
            </w:pPr>
            <w:r>
              <w:rPr>
                <w:rFonts w:hint="eastAsia"/>
                <w:b/>
                <w:bCs/>
                <w:lang w:val="en-US"/>
              </w:rPr>
              <w:t>学生</w:t>
            </w:r>
          </w:p>
          <w:p>
            <w:pPr>
              <w:widowControl/>
              <w:jc w:val="center"/>
              <w:textAlignment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  <w:lang w:val="en-US"/>
              </w:rPr>
              <w:t>(姓名)</w:t>
            </w:r>
          </w:p>
        </w:tc>
        <w:tc>
          <w:tcPr>
            <w:tcW w:w="953" w:type="dxa"/>
            <w:vAlign w:val="center"/>
          </w:tcPr>
          <w:p>
            <w:pPr>
              <w:pStyle w:val="7"/>
              <w:spacing w:line="240" w:lineRule="exact"/>
              <w:jc w:val="center"/>
              <w:rPr>
                <w:b/>
                <w:bCs/>
                <w:lang w:val="en-US"/>
              </w:rPr>
            </w:pPr>
            <w:r>
              <w:rPr>
                <w:rFonts w:hint="eastAsia"/>
                <w:b/>
                <w:bCs/>
                <w:lang w:val="en-US"/>
              </w:rPr>
              <w:t>导师</w:t>
            </w:r>
          </w:p>
          <w:p>
            <w:pPr>
              <w:widowControl/>
              <w:jc w:val="center"/>
              <w:textAlignment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  <w:lang w:val="en-US"/>
              </w:rPr>
              <w:t>(姓名)</w:t>
            </w:r>
          </w:p>
        </w:tc>
        <w:tc>
          <w:tcPr>
            <w:tcW w:w="1141" w:type="dxa"/>
            <w:vAlign w:val="center"/>
          </w:tcPr>
          <w:p>
            <w:pPr>
              <w:pStyle w:val="7"/>
              <w:spacing w:line="240" w:lineRule="exact"/>
              <w:ind w:left="88" w:right="67"/>
              <w:jc w:val="center"/>
              <w:rPr>
                <w:b/>
                <w:bCs/>
              </w:rPr>
            </w:pPr>
          </w:p>
          <w:p>
            <w:pPr>
              <w:pStyle w:val="7"/>
              <w:spacing w:line="240" w:lineRule="exact"/>
              <w:ind w:left="88" w:right="67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类别</w:t>
            </w:r>
          </w:p>
          <w:p>
            <w:pPr>
              <w:pStyle w:val="7"/>
              <w:ind w:left="88" w:right="67"/>
              <w:jc w:val="center"/>
              <w:rPr>
                <w:b/>
                <w:bCs/>
              </w:rPr>
            </w:pPr>
          </w:p>
        </w:tc>
        <w:tc>
          <w:tcPr>
            <w:tcW w:w="1098" w:type="dxa"/>
            <w:vAlign w:val="center"/>
          </w:tcPr>
          <w:p>
            <w:pPr>
              <w:pStyle w:val="7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时间</w:t>
            </w:r>
          </w:p>
        </w:tc>
        <w:tc>
          <w:tcPr>
            <w:tcW w:w="1195" w:type="dxa"/>
            <w:vAlign w:val="center"/>
          </w:tcPr>
          <w:p>
            <w:pPr>
              <w:pStyle w:val="7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地点</w:t>
            </w:r>
          </w:p>
        </w:tc>
        <w:tc>
          <w:tcPr>
            <w:tcW w:w="1206" w:type="dxa"/>
            <w:vAlign w:val="center"/>
          </w:tcPr>
          <w:p>
            <w:pPr>
              <w:widowControl/>
              <w:jc w:val="center"/>
              <w:textAlignment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类型（开题/预答辩）</w:t>
            </w:r>
          </w:p>
        </w:tc>
        <w:tc>
          <w:tcPr>
            <w:tcW w:w="3482" w:type="dxa"/>
            <w:vAlign w:val="center"/>
          </w:tcPr>
          <w:p>
            <w:pPr>
              <w:widowControl/>
              <w:jc w:val="center"/>
              <w:textAlignment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论文题目</w:t>
            </w:r>
          </w:p>
        </w:tc>
        <w:tc>
          <w:tcPr>
            <w:tcW w:w="3297" w:type="dxa"/>
            <w:vAlign w:val="center"/>
          </w:tcPr>
          <w:p>
            <w:pPr>
              <w:pStyle w:val="7"/>
              <w:spacing w:line="240" w:lineRule="exact"/>
              <w:ind w:left="166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  <w:lang w:val="en-US"/>
              </w:rPr>
              <w:t>评审</w:t>
            </w:r>
            <w:r>
              <w:rPr>
                <w:rFonts w:hint="eastAsia"/>
                <w:b/>
                <w:bCs/>
              </w:rPr>
              <w:t>委员会主席及委员</w:t>
            </w:r>
          </w:p>
          <w:p>
            <w:pPr>
              <w:pStyle w:val="7"/>
              <w:spacing w:before="3"/>
              <w:ind w:left="15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（姓名、职称、单位）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2" w:hRule="atLeast"/>
        </w:trPr>
        <w:tc>
          <w:tcPr>
            <w:tcW w:w="487" w:type="dxa"/>
            <w:vAlign w:val="center"/>
          </w:tcPr>
          <w:p>
            <w:pPr>
              <w:pStyle w:val="7"/>
              <w:spacing w:before="140"/>
              <w:ind w:left="-44"/>
              <w:jc w:val="center"/>
            </w:pPr>
            <w:r>
              <w:rPr>
                <w:rFonts w:hint="eastAsia" w:ascii="等线" w:hAnsi="等线" w:eastAsia="等线" w:cs="Calibri"/>
                <w:color w:val="000000"/>
              </w:rPr>
              <w:t>1</w:t>
            </w:r>
          </w:p>
        </w:tc>
        <w:tc>
          <w:tcPr>
            <w:tcW w:w="13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  <w:szCs w:val="22"/>
                <w:lang w:val="en-US" w:eastAsia="zh-CN" w:bidi="zh-CN"/>
              </w:rPr>
            </w:pPr>
            <w:r>
              <w:rPr>
                <w:color w:val="000000"/>
                <w:sz w:val="24"/>
                <w:szCs w:val="24"/>
                <w:lang w:val="en-US" w:bidi="ar"/>
              </w:rPr>
              <w:t>211614550</w:t>
            </w:r>
          </w:p>
        </w:tc>
        <w:tc>
          <w:tcPr>
            <w:tcW w:w="97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 w:bidi="zh-CN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徐春良</w:t>
            </w:r>
          </w:p>
        </w:tc>
        <w:tc>
          <w:tcPr>
            <w:tcW w:w="95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 w:bidi="zh-CN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王坚强</w:t>
            </w:r>
          </w:p>
        </w:tc>
        <w:tc>
          <w:tcPr>
            <w:tcW w:w="114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 w:bidi="zh-CN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EMBA</w:t>
            </w:r>
          </w:p>
        </w:tc>
        <w:tc>
          <w:tcPr>
            <w:tcW w:w="1098" w:type="dxa"/>
            <w:vMerge w:val="restart"/>
            <w:vAlign w:val="center"/>
          </w:tcPr>
          <w:p>
            <w:pPr>
              <w:pStyle w:val="7"/>
              <w:ind w:right="127"/>
              <w:jc w:val="center"/>
              <w:rPr>
                <w:b/>
                <w:bCs/>
                <w:spacing w:val="-30"/>
              </w:rPr>
            </w:pPr>
            <w:r>
              <w:rPr>
                <w:rFonts w:hint="eastAsia"/>
                <w:b/>
                <w:bCs/>
              </w:rPr>
              <w:t>20</w:t>
            </w:r>
            <w:r>
              <w:rPr>
                <w:b/>
                <w:bCs/>
              </w:rPr>
              <w:t>2</w:t>
            </w:r>
            <w:r>
              <w:rPr>
                <w:rFonts w:hint="eastAsia"/>
                <w:b/>
                <w:bCs/>
                <w:lang w:val="en-US"/>
              </w:rPr>
              <w:t>3</w:t>
            </w:r>
            <w:r>
              <w:rPr>
                <w:rFonts w:hint="eastAsia"/>
                <w:b/>
                <w:bCs/>
                <w:spacing w:val="-30"/>
              </w:rPr>
              <w:t>年</w:t>
            </w:r>
          </w:p>
          <w:p>
            <w:pPr>
              <w:pStyle w:val="7"/>
              <w:ind w:right="127"/>
              <w:jc w:val="center"/>
              <w:rPr>
                <w:b/>
                <w:bCs/>
                <w:lang w:val="en-US"/>
              </w:rPr>
            </w:pPr>
            <w:r>
              <w:rPr>
                <w:rFonts w:hint="eastAsia"/>
                <w:b/>
                <w:bCs/>
              </w:rPr>
              <w:t>6月</w:t>
            </w:r>
            <w:r>
              <w:rPr>
                <w:b/>
                <w:bCs/>
                <w:lang w:val="en-US"/>
              </w:rPr>
              <w:t>2</w:t>
            </w:r>
            <w:r>
              <w:rPr>
                <w:rFonts w:hint="eastAsia"/>
                <w:b/>
                <w:bCs/>
                <w:lang w:val="en-US"/>
              </w:rPr>
              <w:t>5</w:t>
            </w:r>
          </w:p>
          <w:p>
            <w:pPr>
              <w:pStyle w:val="7"/>
              <w:ind w:right="127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（周</w:t>
            </w:r>
            <w:r>
              <w:rPr>
                <w:rFonts w:hint="eastAsia"/>
                <w:b/>
                <w:bCs/>
                <w:lang w:val="en-US"/>
              </w:rPr>
              <w:t>日</w:t>
            </w:r>
            <w:r>
              <w:rPr>
                <w:rFonts w:hint="eastAsia"/>
                <w:b/>
                <w:bCs/>
              </w:rPr>
              <w:t>）</w:t>
            </w:r>
          </w:p>
          <w:p>
            <w:pPr>
              <w:pStyle w:val="7"/>
              <w:ind w:right="127" w:rightChars="0"/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 w:bidi="zh-CN"/>
              </w:rPr>
            </w:pPr>
            <w:r>
              <w:rPr>
                <w:rFonts w:hint="eastAsia"/>
                <w:b/>
                <w:bCs/>
              </w:rPr>
              <w:t>上午</w:t>
            </w:r>
            <w:r>
              <w:rPr>
                <w:rFonts w:hint="eastAsia"/>
                <w:b/>
                <w:bCs/>
                <w:lang w:val="en-US"/>
              </w:rPr>
              <w:t>9</w:t>
            </w:r>
            <w:r>
              <w:rPr>
                <w:rFonts w:hint="eastAsia"/>
                <w:b/>
                <w:bCs/>
              </w:rPr>
              <w:t>:</w:t>
            </w:r>
            <w:r>
              <w:rPr>
                <w:rFonts w:hint="eastAsia"/>
                <w:b/>
                <w:bCs/>
                <w:lang w:val="en-US"/>
              </w:rPr>
              <w:t>0</w:t>
            </w:r>
            <w:r>
              <w:rPr>
                <w:rFonts w:hint="eastAsia"/>
                <w:b/>
                <w:bCs/>
              </w:rPr>
              <w:t>0</w:t>
            </w:r>
          </w:p>
        </w:tc>
        <w:tc>
          <w:tcPr>
            <w:tcW w:w="1195" w:type="dxa"/>
            <w:vMerge w:val="restart"/>
            <w:vAlign w:val="center"/>
          </w:tcPr>
          <w:p>
            <w:pPr>
              <w:pStyle w:val="7"/>
              <w:jc w:val="center"/>
              <w:rPr>
                <w:b/>
                <w:bCs/>
                <w:lang w:val="en-US"/>
              </w:rPr>
            </w:pPr>
            <w:r>
              <w:rPr>
                <w:rFonts w:hint="eastAsia"/>
                <w:b/>
                <w:bCs/>
                <w:lang w:val="en-US"/>
              </w:rPr>
              <w:t>江湾楼</w:t>
            </w:r>
          </w:p>
          <w:p>
            <w:pPr>
              <w:pStyle w:val="7"/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 w:bidi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366</w:t>
            </w:r>
            <w:r>
              <w:rPr>
                <w:rFonts w:hint="eastAsia"/>
                <w:b/>
                <w:bCs/>
                <w:lang w:val="en-US"/>
              </w:rPr>
              <w:t>会议室</w:t>
            </w:r>
          </w:p>
        </w:tc>
        <w:tc>
          <w:tcPr>
            <w:tcW w:w="120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 w:bidi="zh-CN"/>
              </w:rPr>
            </w:pPr>
            <w:r>
              <w:rPr>
                <w:rStyle w:val="9"/>
                <w:rFonts w:hint="eastAsia"/>
                <w:lang w:val="en-US"/>
              </w:rPr>
              <w:t>开题</w:t>
            </w:r>
          </w:p>
        </w:tc>
        <w:tc>
          <w:tcPr>
            <w:tcW w:w="3482" w:type="dxa"/>
            <w:vAlign w:val="center"/>
          </w:tcPr>
          <w:p>
            <w:pPr>
              <w:widowControl/>
              <w:textAlignment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 w:bidi="ar"/>
              </w:rPr>
            </w:pPr>
            <w:r>
              <w:rPr>
                <w:rStyle w:val="10"/>
                <w:rFonts w:hint="default"/>
                <w:lang w:val="en-US" w:bidi="ar"/>
              </w:rPr>
              <w:t>基于精益六西格玛的L公司现场管理优化研究</w:t>
            </w:r>
          </w:p>
        </w:tc>
        <w:tc>
          <w:tcPr>
            <w:tcW w:w="3297" w:type="dxa"/>
            <w:vMerge w:val="restart"/>
          </w:tcPr>
          <w:p>
            <w:pPr>
              <w:pStyle w:val="7"/>
              <w:spacing w:before="104" w:line="242" w:lineRule="auto"/>
              <w:ind w:left="10" w:right="-15"/>
              <w:jc w:val="both"/>
              <w:rPr>
                <w:b/>
                <w:bCs/>
                <w:spacing w:val="-8"/>
              </w:rPr>
            </w:pPr>
          </w:p>
          <w:p>
            <w:pPr>
              <w:pStyle w:val="7"/>
              <w:spacing w:before="104" w:line="242" w:lineRule="auto"/>
              <w:ind w:right="-15"/>
              <w:jc w:val="both"/>
              <w:rPr>
                <w:b/>
                <w:bCs/>
                <w:spacing w:val="-8"/>
              </w:rPr>
            </w:pPr>
            <w:r>
              <w:rPr>
                <w:rFonts w:hint="eastAsia"/>
                <w:b/>
                <w:bCs/>
                <w:spacing w:val="-8"/>
              </w:rPr>
              <w:t>主席：</w:t>
            </w:r>
          </w:p>
          <w:p>
            <w:pPr>
              <w:pStyle w:val="7"/>
              <w:spacing w:before="104" w:line="242" w:lineRule="auto"/>
              <w:ind w:left="10" w:right="-15"/>
              <w:jc w:val="both"/>
            </w:pPr>
            <w:r>
              <w:rPr>
                <w:rFonts w:hint="eastAsia"/>
                <w:spacing w:val="-8"/>
                <w:lang w:val="en-US"/>
              </w:rPr>
              <w:t>张</w:t>
            </w:r>
            <w:r>
              <w:rPr>
                <w:rFonts w:hint="eastAsia"/>
                <w:spacing w:val="-8"/>
                <w:lang w:val="en-US" w:eastAsia="zh-CN"/>
              </w:rPr>
              <w:t xml:space="preserve">  </w:t>
            </w:r>
            <w:r>
              <w:rPr>
                <w:rFonts w:hint="eastAsia"/>
                <w:spacing w:val="-8"/>
                <w:lang w:val="en-US"/>
              </w:rPr>
              <w:t xml:space="preserve">颖  </w:t>
            </w:r>
            <w:r>
              <w:rPr>
                <w:rFonts w:hint="eastAsia"/>
                <w:spacing w:val="-8"/>
                <w:lang w:val="en-US" w:eastAsia="zh-CN"/>
              </w:rPr>
              <w:t xml:space="preserve"> </w:t>
            </w:r>
            <w:r>
              <w:rPr>
                <w:rFonts w:hint="eastAsia"/>
                <w:spacing w:val="-8"/>
              </w:rPr>
              <w:t xml:space="preserve">教授 </w:t>
            </w:r>
            <w:r>
              <w:rPr>
                <w:rFonts w:hint="eastAsia"/>
                <w:spacing w:val="-8"/>
                <w:lang w:val="en-US" w:eastAsia="zh-CN"/>
              </w:rPr>
              <w:t xml:space="preserve"> </w:t>
            </w:r>
            <w:r>
              <w:rPr>
                <w:rFonts w:hint="eastAsia"/>
                <w:spacing w:val="-8"/>
              </w:rPr>
              <w:t>中南大</w:t>
            </w:r>
            <w:r>
              <w:rPr>
                <w:rFonts w:hint="eastAsia"/>
              </w:rPr>
              <w:t>学</w:t>
            </w:r>
          </w:p>
          <w:p>
            <w:pPr>
              <w:pStyle w:val="7"/>
              <w:spacing w:before="1"/>
              <w:rPr>
                <w:b/>
              </w:rPr>
            </w:pPr>
          </w:p>
          <w:p>
            <w:pPr>
              <w:pStyle w:val="7"/>
              <w:spacing w:line="242" w:lineRule="auto"/>
              <w:ind w:left="10" w:right="-15"/>
              <w:jc w:val="both"/>
              <w:rPr>
                <w:b/>
                <w:bCs/>
                <w:spacing w:val="-8"/>
              </w:rPr>
            </w:pPr>
            <w:r>
              <w:rPr>
                <w:rFonts w:hint="eastAsia"/>
                <w:b/>
                <w:bCs/>
                <w:spacing w:val="-8"/>
              </w:rPr>
              <w:t>委员：</w:t>
            </w:r>
          </w:p>
          <w:p>
            <w:pPr>
              <w:pStyle w:val="7"/>
              <w:tabs>
                <w:tab w:val="left" w:pos="2146"/>
              </w:tabs>
              <w:spacing w:line="242" w:lineRule="auto"/>
              <w:ind w:right="88"/>
            </w:pPr>
            <w:r>
              <w:rPr>
                <w:rFonts w:hint="eastAsia"/>
                <w:lang w:val="en-US"/>
              </w:rPr>
              <w:t xml:space="preserve">王坚强  </w:t>
            </w:r>
            <w:r>
              <w:rPr>
                <w:rFonts w:hint="eastAsia"/>
              </w:rPr>
              <w:t>教授</w:t>
            </w:r>
            <w:r>
              <w:rPr>
                <w:rFonts w:hint="eastAsia"/>
                <w:lang w:val="en-US"/>
              </w:rPr>
              <w:t xml:space="preserve">  </w:t>
            </w:r>
            <w:r>
              <w:rPr>
                <w:rFonts w:hint="eastAsia"/>
              </w:rPr>
              <w:t>中</w:t>
            </w:r>
            <w:r>
              <w:rPr>
                <w:rFonts w:hint="eastAsia"/>
                <w:spacing w:val="-17"/>
              </w:rPr>
              <w:t>南</w:t>
            </w:r>
            <w:r>
              <w:rPr>
                <w:rFonts w:hint="eastAsia"/>
              </w:rPr>
              <w:t>大学</w:t>
            </w:r>
          </w:p>
          <w:p>
            <w:pPr>
              <w:pStyle w:val="7"/>
              <w:tabs>
                <w:tab w:val="left" w:pos="2146"/>
              </w:tabs>
              <w:spacing w:line="242" w:lineRule="auto"/>
              <w:ind w:right="88"/>
            </w:pPr>
            <w:r>
              <w:rPr>
                <w:rFonts w:hint="eastAsia"/>
                <w:lang w:val="en-US"/>
              </w:rPr>
              <w:t xml:space="preserve">田  晖  </w:t>
            </w:r>
            <w:r>
              <w:rPr>
                <w:rFonts w:hint="eastAsia"/>
              </w:rPr>
              <w:t>教授  中</w:t>
            </w:r>
            <w:r>
              <w:rPr>
                <w:rFonts w:hint="eastAsia"/>
                <w:spacing w:val="-17"/>
              </w:rPr>
              <w:t>南</w:t>
            </w:r>
            <w:r>
              <w:rPr>
                <w:rFonts w:hint="eastAsia"/>
              </w:rPr>
              <w:t>大学</w:t>
            </w:r>
          </w:p>
          <w:p>
            <w:pPr>
              <w:pStyle w:val="7"/>
              <w:tabs>
                <w:tab w:val="left" w:pos="2175"/>
              </w:tabs>
              <w:spacing w:before="1"/>
              <w:ind w:left="15"/>
              <w:jc w:val="both"/>
              <w:rPr>
                <w:b/>
                <w:bCs/>
              </w:rPr>
            </w:pPr>
          </w:p>
          <w:p>
            <w:pPr>
              <w:pStyle w:val="7"/>
              <w:tabs>
                <w:tab w:val="left" w:pos="2175"/>
              </w:tabs>
              <w:spacing w:before="1"/>
              <w:ind w:left="15"/>
              <w:jc w:val="both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秘书：</w:t>
            </w:r>
          </w:p>
          <w:p>
            <w:pPr>
              <w:pStyle w:val="7"/>
              <w:tabs>
                <w:tab w:val="left" w:pos="2206"/>
              </w:tabs>
              <w:spacing w:line="242" w:lineRule="auto"/>
              <w:ind w:left="1126" w:right="28" w:hanging="1080"/>
            </w:pPr>
            <w:r>
              <w:rPr>
                <w:rFonts w:hint="eastAsia"/>
                <w:lang w:val="en-US"/>
              </w:rPr>
              <w:t>黄</w:t>
            </w:r>
            <w:r>
              <w:rPr>
                <w:rFonts w:hint="eastAsia"/>
                <w:lang w:val="en-US" w:eastAsia="zh-CN"/>
              </w:rPr>
              <w:t xml:space="preserve">  </w:t>
            </w:r>
            <w:bookmarkStart w:id="0" w:name="_GoBack"/>
            <w:bookmarkEnd w:id="0"/>
            <w:r>
              <w:rPr>
                <w:rFonts w:hint="eastAsia"/>
                <w:lang w:val="en-US"/>
              </w:rPr>
              <w:t>瑛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lang w:val="en-US"/>
              </w:rPr>
              <w:t xml:space="preserve">讲师  </w:t>
            </w:r>
            <w:r>
              <w:rPr>
                <w:rFonts w:hint="eastAsia"/>
              </w:rPr>
              <w:t>中南大学</w:t>
            </w:r>
          </w:p>
          <w:p>
            <w:pPr>
              <w:pStyle w:val="7"/>
              <w:tabs>
                <w:tab w:val="left" w:pos="2206"/>
              </w:tabs>
              <w:spacing w:line="242" w:lineRule="auto"/>
              <w:ind w:left="1126" w:right="28" w:hanging="1080"/>
              <w:rPr>
                <w:lang w:val="en-US"/>
              </w:rPr>
            </w:pPr>
            <w:r>
              <w:rPr>
                <w:rFonts w:hint="eastAsia"/>
              </w:rPr>
              <w:t>电话：</w:t>
            </w:r>
            <w:r>
              <w:t xml:space="preserve">  </w:t>
            </w:r>
            <w:r>
              <w:rPr>
                <w:lang w:val="en-US"/>
              </w:rPr>
              <w:t>13308435217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2" w:hRule="atLeast"/>
        </w:trPr>
        <w:tc>
          <w:tcPr>
            <w:tcW w:w="487" w:type="dxa"/>
            <w:vAlign w:val="center"/>
          </w:tcPr>
          <w:p>
            <w:pPr>
              <w:pStyle w:val="7"/>
              <w:spacing w:before="140"/>
              <w:ind w:left="-44"/>
              <w:jc w:val="center"/>
              <w:rPr>
                <w:rFonts w:hint="eastAsia" w:ascii="等线" w:hAnsi="等线" w:eastAsia="等线" w:cs="Calibri"/>
                <w:color w:val="000000"/>
                <w:lang w:val="en-US" w:eastAsia="zh-CN"/>
              </w:rPr>
            </w:pPr>
            <w:r>
              <w:rPr>
                <w:rFonts w:hint="eastAsia" w:ascii="等线" w:hAnsi="等线" w:eastAsia="等线" w:cs="Calibri"/>
                <w:color w:val="000000"/>
                <w:lang w:val="en-US" w:eastAsia="zh-CN"/>
              </w:rPr>
              <w:t>2</w:t>
            </w:r>
          </w:p>
        </w:tc>
        <w:tc>
          <w:tcPr>
            <w:tcW w:w="13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  <w:lang w:val="en-US" w:eastAsia="zh-CN" w:bidi="ar"/>
              </w:rPr>
            </w:pPr>
            <w:r>
              <w:rPr>
                <w:color w:val="000000"/>
                <w:sz w:val="24"/>
                <w:szCs w:val="24"/>
                <w:lang w:val="en-US" w:bidi="ar"/>
              </w:rPr>
              <w:t>2116145</w:t>
            </w: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71</w:t>
            </w:r>
          </w:p>
        </w:tc>
        <w:tc>
          <w:tcPr>
            <w:tcW w:w="97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邹昕熙</w:t>
            </w:r>
          </w:p>
        </w:tc>
        <w:tc>
          <w:tcPr>
            <w:tcW w:w="95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田晖</w:t>
            </w:r>
          </w:p>
        </w:tc>
        <w:tc>
          <w:tcPr>
            <w:tcW w:w="114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 w:bidi="zh-CN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EMBA</w:t>
            </w:r>
          </w:p>
        </w:tc>
        <w:tc>
          <w:tcPr>
            <w:tcW w:w="1098" w:type="dxa"/>
            <w:vMerge w:val="continue"/>
            <w:vAlign w:val="top"/>
          </w:tcPr>
          <w:p>
            <w:pPr>
              <w:rPr>
                <w:rFonts w:hint="eastAsia" w:ascii="宋体" w:hAnsi="宋体" w:eastAsia="宋体" w:cs="宋体"/>
                <w:sz w:val="22"/>
                <w:szCs w:val="22"/>
                <w:lang w:val="en-US" w:eastAsia="zh-CN" w:bidi="zh-CN"/>
              </w:rPr>
            </w:pPr>
          </w:p>
        </w:tc>
        <w:tc>
          <w:tcPr>
            <w:tcW w:w="1195" w:type="dxa"/>
            <w:vMerge w:val="continue"/>
            <w:vAlign w:val="top"/>
          </w:tcPr>
          <w:p>
            <w:pPr>
              <w:rPr>
                <w:rFonts w:hint="eastAsia" w:ascii="宋体" w:hAnsi="宋体" w:eastAsia="宋体" w:cs="宋体"/>
                <w:sz w:val="22"/>
                <w:szCs w:val="22"/>
                <w:lang w:val="en-US" w:eastAsia="zh-CN" w:bidi="zh-CN"/>
              </w:rPr>
            </w:pPr>
          </w:p>
        </w:tc>
        <w:tc>
          <w:tcPr>
            <w:tcW w:w="120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 w:bidi="zh-CN"/>
              </w:rPr>
            </w:pPr>
            <w:r>
              <w:rPr>
                <w:rFonts w:hint="eastAsia"/>
              </w:rPr>
              <w:t>开题</w:t>
            </w:r>
          </w:p>
        </w:tc>
        <w:tc>
          <w:tcPr>
            <w:tcW w:w="3482" w:type="dxa"/>
            <w:vAlign w:val="center"/>
          </w:tcPr>
          <w:p>
            <w:pPr>
              <w:widowControl/>
              <w:textAlignment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 w:bidi="zh-CN"/>
              </w:rPr>
            </w:pPr>
            <w:r>
              <w:rPr>
                <w:rStyle w:val="10"/>
                <w:rFonts w:hint="default"/>
                <w:lang w:val="en-US" w:bidi="ar"/>
              </w:rPr>
              <w:t>新佳宜便利连锁公司营运人才培养体系优化研究</w:t>
            </w:r>
          </w:p>
        </w:tc>
        <w:tc>
          <w:tcPr>
            <w:tcW w:w="3297" w:type="dxa"/>
            <w:vMerge w:val="continue"/>
          </w:tcPr>
          <w:p>
            <w:pPr>
              <w:pStyle w:val="7"/>
              <w:tabs>
                <w:tab w:val="left" w:pos="2206"/>
              </w:tabs>
              <w:spacing w:line="242" w:lineRule="auto"/>
              <w:ind w:left="1126" w:right="28" w:hanging="1080"/>
              <w:rPr>
                <w:rFonts w:hint="eastAsia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9" w:hRule="atLeast"/>
        </w:trPr>
        <w:tc>
          <w:tcPr>
            <w:tcW w:w="487" w:type="dxa"/>
            <w:vAlign w:val="center"/>
          </w:tcPr>
          <w:p>
            <w:pPr>
              <w:pStyle w:val="7"/>
              <w:spacing w:before="140"/>
              <w:ind w:left="-44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13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color w:val="000000"/>
                <w:sz w:val="24"/>
                <w:szCs w:val="24"/>
                <w:lang w:val="en-US" w:bidi="ar"/>
              </w:rPr>
              <w:t>211614567</w:t>
            </w:r>
          </w:p>
        </w:tc>
        <w:tc>
          <w:tcPr>
            <w:tcW w:w="97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张美玲</w:t>
            </w:r>
          </w:p>
        </w:tc>
        <w:tc>
          <w:tcPr>
            <w:tcW w:w="95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任胜钢</w:t>
            </w:r>
          </w:p>
        </w:tc>
        <w:tc>
          <w:tcPr>
            <w:tcW w:w="114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zh-CN" w:eastAsia="zh-CN" w:bidi="ar"/>
              </w:rPr>
            </w:pPr>
            <w:r>
              <w:rPr>
                <w:color w:val="000000"/>
                <w:sz w:val="24"/>
                <w:szCs w:val="24"/>
                <w:lang w:val="en-US" w:bidi="ar"/>
              </w:rPr>
              <w:t>EMBA</w:t>
            </w:r>
          </w:p>
        </w:tc>
        <w:tc>
          <w:tcPr>
            <w:tcW w:w="1098" w:type="dxa"/>
            <w:vMerge w:val="continue"/>
            <w:vAlign w:val="top"/>
          </w:tcPr>
          <w:p>
            <w:pPr>
              <w:rPr>
                <w:rFonts w:ascii="宋体" w:hAnsi="宋体" w:eastAsia="宋体" w:cs="宋体"/>
                <w:sz w:val="22"/>
                <w:szCs w:val="22"/>
                <w:lang w:val="en-US" w:eastAsia="zh-CN" w:bidi="zh-CN"/>
              </w:rPr>
            </w:pPr>
          </w:p>
        </w:tc>
        <w:tc>
          <w:tcPr>
            <w:tcW w:w="1195" w:type="dxa"/>
            <w:vMerge w:val="continue"/>
            <w:vAlign w:val="top"/>
          </w:tcPr>
          <w:p>
            <w:pPr>
              <w:rPr>
                <w:rFonts w:ascii="宋体" w:hAnsi="宋体" w:eastAsia="宋体" w:cs="宋体"/>
                <w:sz w:val="22"/>
                <w:szCs w:val="22"/>
                <w:lang w:val="zh-CN" w:eastAsia="zh-CN" w:bidi="zh-CN"/>
              </w:rPr>
            </w:pPr>
          </w:p>
        </w:tc>
        <w:tc>
          <w:tcPr>
            <w:tcW w:w="120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lang w:val="zh-CN" w:eastAsia="zh-CN" w:bidi="zh-CN"/>
              </w:rPr>
            </w:pPr>
            <w:r>
              <w:rPr>
                <w:rFonts w:hint="eastAsia"/>
              </w:rPr>
              <w:t>开题</w:t>
            </w:r>
          </w:p>
        </w:tc>
        <w:tc>
          <w:tcPr>
            <w:tcW w:w="3482" w:type="dxa"/>
            <w:vAlign w:val="center"/>
          </w:tcPr>
          <w:p>
            <w:pPr>
              <w:widowControl/>
              <w:textAlignment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Style w:val="10"/>
                <w:rFonts w:hint="default"/>
                <w:lang w:val="en-US" w:bidi="ar"/>
              </w:rPr>
              <w:t>ChatGPT背景下Z职业培训学校战略转型研究</w:t>
            </w:r>
          </w:p>
        </w:tc>
        <w:tc>
          <w:tcPr>
            <w:tcW w:w="3297" w:type="dxa"/>
            <w:vMerge w:val="continue"/>
          </w:tcPr>
          <w:p>
            <w:pPr>
              <w:pStyle w:val="7"/>
              <w:tabs>
                <w:tab w:val="left" w:pos="2206"/>
              </w:tabs>
              <w:spacing w:line="242" w:lineRule="auto"/>
              <w:ind w:left="1126" w:right="28" w:hanging="1080"/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5" w:hRule="atLeast"/>
        </w:trPr>
        <w:tc>
          <w:tcPr>
            <w:tcW w:w="487" w:type="dxa"/>
            <w:vAlign w:val="center"/>
          </w:tcPr>
          <w:p>
            <w:pPr>
              <w:pStyle w:val="7"/>
              <w:spacing w:before="141"/>
              <w:ind w:left="-44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</w:t>
            </w:r>
          </w:p>
        </w:tc>
        <w:tc>
          <w:tcPr>
            <w:tcW w:w="13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  <w:lang w:val="en-US" w:eastAsia="zh-CN" w:bidi="ar"/>
              </w:rPr>
            </w:pPr>
            <w:r>
              <w:rPr>
                <w:color w:val="000000"/>
                <w:sz w:val="24"/>
                <w:szCs w:val="24"/>
                <w:lang w:val="en-US" w:bidi="ar"/>
              </w:rPr>
              <w:t>181614250</w:t>
            </w:r>
          </w:p>
        </w:tc>
        <w:tc>
          <w:tcPr>
            <w:tcW w:w="97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 w:bidi="zh-CN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周渊</w:t>
            </w:r>
          </w:p>
        </w:tc>
        <w:tc>
          <w:tcPr>
            <w:tcW w:w="95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张颖</w:t>
            </w:r>
          </w:p>
        </w:tc>
        <w:tc>
          <w:tcPr>
            <w:tcW w:w="114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 w:bidi="zh-CN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EMBA</w:t>
            </w:r>
          </w:p>
        </w:tc>
        <w:tc>
          <w:tcPr>
            <w:tcW w:w="1098" w:type="dxa"/>
            <w:vMerge w:val="continue"/>
            <w:vAlign w:val="center"/>
          </w:tcPr>
          <w:p>
            <w:pPr>
              <w:pStyle w:val="7"/>
              <w:ind w:right="127" w:rightChars="0"/>
              <w:jc w:val="center"/>
              <w:rPr>
                <w:rFonts w:ascii="宋体" w:hAnsi="宋体" w:eastAsia="宋体" w:cs="宋体"/>
                <w:sz w:val="22"/>
                <w:szCs w:val="22"/>
                <w:lang w:val="zh-CN" w:eastAsia="zh-CN" w:bidi="zh-CN"/>
              </w:rPr>
            </w:pPr>
          </w:p>
        </w:tc>
        <w:tc>
          <w:tcPr>
            <w:tcW w:w="1195" w:type="dxa"/>
            <w:vMerge w:val="continue"/>
            <w:vAlign w:val="center"/>
          </w:tcPr>
          <w:p>
            <w:pPr>
              <w:pStyle w:val="7"/>
              <w:jc w:val="center"/>
              <w:rPr>
                <w:rFonts w:ascii="宋体" w:hAnsi="宋体" w:eastAsia="宋体" w:cs="宋体"/>
                <w:sz w:val="22"/>
                <w:szCs w:val="22"/>
                <w:lang w:val="zh-CN" w:eastAsia="zh-CN" w:bidi="zh-CN"/>
              </w:rPr>
            </w:pPr>
          </w:p>
        </w:tc>
        <w:tc>
          <w:tcPr>
            <w:tcW w:w="120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lang w:val="zh-CN" w:eastAsia="zh-CN" w:bidi="zh-CN"/>
              </w:rPr>
            </w:pPr>
            <w:r>
              <w:rPr>
                <w:rStyle w:val="9"/>
                <w:rFonts w:hint="eastAsia"/>
                <w:lang w:val="en-US"/>
              </w:rPr>
              <w:t>开题</w:t>
            </w:r>
          </w:p>
        </w:tc>
        <w:tc>
          <w:tcPr>
            <w:tcW w:w="3482" w:type="dxa"/>
            <w:vAlign w:val="center"/>
          </w:tcPr>
          <w:p>
            <w:pPr>
              <w:widowControl/>
              <w:textAlignment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 w:bidi="zh-CN"/>
              </w:rPr>
            </w:pPr>
            <w:r>
              <w:rPr>
                <w:rStyle w:val="10"/>
                <w:rFonts w:hint="default"/>
                <w:lang w:val="en-US" w:bidi="ar"/>
              </w:rPr>
              <w:t>A礼品公司营销策略优化研究</w:t>
            </w:r>
          </w:p>
        </w:tc>
        <w:tc>
          <w:tcPr>
            <w:tcW w:w="3297" w:type="dxa"/>
            <w:vMerge w:val="continue"/>
          </w:tcPr>
          <w:p/>
        </w:tc>
      </w:tr>
    </w:tbl>
    <w:p>
      <w:pPr>
        <w:pStyle w:val="2"/>
        <w:spacing w:before="1"/>
        <w:ind w:left="100"/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EMBA</w:t>
      </w:r>
      <w:r>
        <w:rPr>
          <w:sz w:val="28"/>
          <w:szCs w:val="28"/>
        </w:rPr>
        <w:t>学位论</w:t>
      </w:r>
      <w:r>
        <w:rPr>
          <w:rFonts w:hint="eastAsia"/>
          <w:sz w:val="28"/>
          <w:szCs w:val="28"/>
        </w:rPr>
        <w:t>文开题</w:t>
      </w:r>
      <w:r>
        <w:rPr>
          <w:sz w:val="28"/>
          <w:szCs w:val="28"/>
        </w:rPr>
        <w:t>/预答辩</w:t>
      </w:r>
      <w:r>
        <w:rPr>
          <w:rFonts w:hint="eastAsia"/>
          <w:sz w:val="28"/>
          <w:szCs w:val="28"/>
        </w:rPr>
        <w:t>公告</w:t>
      </w:r>
      <w:r>
        <w:rPr>
          <w:sz w:val="28"/>
          <w:szCs w:val="28"/>
        </w:rPr>
        <w:t>（</w:t>
      </w:r>
      <w:r>
        <w:rPr>
          <w:rFonts w:hint="eastAsia"/>
          <w:sz w:val="28"/>
          <w:szCs w:val="28"/>
          <w:lang w:val="en-US"/>
        </w:rPr>
        <w:t>第三组</w:t>
      </w:r>
      <w:r>
        <w:rPr>
          <w:sz w:val="28"/>
          <w:szCs w:val="28"/>
        </w:rPr>
        <w:t>）</w:t>
      </w:r>
      <w:r>
        <w:rPr>
          <w:rFonts w:hint="eastAsia"/>
          <w:sz w:val="28"/>
          <w:szCs w:val="28"/>
        </w:rPr>
        <w:t>（</w:t>
      </w:r>
      <w:r>
        <w:rPr>
          <w:sz w:val="28"/>
          <w:szCs w:val="28"/>
        </w:rPr>
        <w:t>366会议室</w:t>
      </w:r>
      <w:r>
        <w:rPr>
          <w:rFonts w:hint="eastAsia"/>
          <w:sz w:val="28"/>
          <w:szCs w:val="28"/>
        </w:rPr>
        <w:t>）</w:t>
      </w:r>
    </w:p>
    <w:p/>
    <w:p>
      <w:pPr>
        <w:spacing w:line="360" w:lineRule="auto"/>
        <w:ind w:firstLine="562" w:firstLineChars="200"/>
        <w:jc w:val="center"/>
        <w:rPr>
          <w:lang w:val="en-US"/>
        </w:rPr>
      </w:pPr>
      <w:r>
        <w:rPr>
          <w:rFonts w:hint="eastAsia"/>
          <w:b/>
          <w:bCs/>
          <w:sz w:val="28"/>
          <w:szCs w:val="28"/>
          <w:lang w:val="en-US"/>
        </w:rPr>
        <w:t>开题、预答辩须知</w:t>
      </w:r>
    </w:p>
    <w:p>
      <w:pPr>
        <w:spacing w:line="360" w:lineRule="auto"/>
        <w:jc w:val="both"/>
        <w:rPr>
          <w:b/>
          <w:bCs/>
          <w:lang w:val="en-US"/>
        </w:rPr>
      </w:pPr>
      <w:r>
        <w:rPr>
          <w:rFonts w:hint="eastAsia"/>
          <w:b/>
          <w:bCs/>
          <w:lang w:val="en-US"/>
        </w:rPr>
        <w:t>一、开题流程及要求</w:t>
      </w:r>
    </w:p>
    <w:p>
      <w:pPr>
        <w:spacing w:line="360" w:lineRule="auto"/>
        <w:ind w:firstLine="440" w:firstLineChars="200"/>
        <w:jc w:val="both"/>
        <w:rPr>
          <w:lang w:val="en-US"/>
        </w:rPr>
      </w:pPr>
      <w:r>
        <w:rPr>
          <w:rFonts w:hint="eastAsia"/>
          <w:lang w:val="en-US"/>
        </w:rPr>
        <w:t>开题报告会由评审委员会主席主持，采取PPT汇报和答辩相结合的方式进行。</w:t>
      </w:r>
    </w:p>
    <w:p>
      <w:pPr>
        <w:spacing w:line="360" w:lineRule="auto"/>
        <w:ind w:firstLine="440" w:firstLineChars="200"/>
        <w:jc w:val="both"/>
        <w:rPr>
          <w:lang w:val="en-US"/>
        </w:rPr>
      </w:pPr>
      <w:r>
        <w:rPr>
          <w:rFonts w:hint="eastAsia"/>
          <w:lang w:val="en-US"/>
        </w:rPr>
        <w:t>1.开题学生采用PPT进行汇报，时间不少于15分钟。</w:t>
      </w:r>
    </w:p>
    <w:p>
      <w:pPr>
        <w:spacing w:line="360" w:lineRule="auto"/>
        <w:ind w:firstLine="440" w:firstLineChars="200"/>
        <w:jc w:val="both"/>
        <w:rPr>
          <w:lang w:val="en-US"/>
        </w:rPr>
      </w:pPr>
      <w:r>
        <w:rPr>
          <w:rFonts w:hint="eastAsia"/>
          <w:lang w:val="en-US"/>
        </w:rPr>
        <w:t>2.评审委员会专家就学生的学位论文开题报告进行提问，学生回答。答辩时间由评审委员会专家自行把握，一般为10分钟左右。</w:t>
      </w:r>
    </w:p>
    <w:p>
      <w:pPr>
        <w:spacing w:line="360" w:lineRule="auto"/>
        <w:ind w:firstLine="440" w:firstLineChars="200"/>
        <w:jc w:val="both"/>
        <w:rPr>
          <w:lang w:val="en-US"/>
        </w:rPr>
      </w:pPr>
      <w:r>
        <w:rPr>
          <w:rFonts w:hint="eastAsia"/>
          <w:lang w:val="en-US"/>
        </w:rPr>
        <w:t>3.开题报告会结束后，评审委员会进行集体评议，给出评审意见、评定成绩等级，并在纸质《开题报告》上签字。同时，评审委员会主席还需要在《中南大学研究生学位论文开题报告情况汇总表》上签字。</w:t>
      </w:r>
    </w:p>
    <w:p>
      <w:pPr>
        <w:spacing w:line="360" w:lineRule="auto"/>
        <w:jc w:val="both"/>
        <w:rPr>
          <w:b/>
          <w:bCs/>
          <w:lang w:val="en-US"/>
        </w:rPr>
      </w:pPr>
      <w:r>
        <w:rPr>
          <w:rFonts w:hint="eastAsia"/>
          <w:b/>
          <w:bCs/>
          <w:lang w:val="en-US"/>
        </w:rPr>
        <w:t>二、开题材料提交及要求</w:t>
      </w:r>
    </w:p>
    <w:p>
      <w:pPr>
        <w:spacing w:line="360" w:lineRule="auto"/>
        <w:ind w:firstLine="440"/>
        <w:jc w:val="both"/>
        <w:rPr>
          <w:lang w:val="en-US"/>
        </w:rPr>
      </w:pPr>
      <w:r>
        <w:rPr>
          <w:rFonts w:hint="eastAsia"/>
          <w:lang w:val="en-US"/>
        </w:rPr>
        <w:t>开题报告会结束后，评审委员会秘书需要汇总开题报告会相关材料，具体包括：</w:t>
      </w:r>
    </w:p>
    <w:p>
      <w:pPr>
        <w:spacing w:line="360" w:lineRule="auto"/>
        <w:ind w:firstLine="440"/>
        <w:jc w:val="both"/>
        <w:rPr>
          <w:lang w:val="en-US"/>
        </w:rPr>
      </w:pPr>
      <w:r>
        <w:rPr>
          <w:rFonts w:hint="eastAsia"/>
          <w:lang w:val="en-US"/>
        </w:rPr>
        <w:t>1.开题报告过程中，在学生纸质版《开题报告》上填写专家评审意见和成绩等级，提醒评审委员会专家在学生《开题报告》上签字，并提醒评审委员会主席在《开题报告情况汇总表》上签字。</w:t>
      </w:r>
    </w:p>
    <w:p>
      <w:pPr>
        <w:spacing w:line="360" w:lineRule="auto"/>
        <w:ind w:firstLine="440"/>
        <w:jc w:val="both"/>
        <w:rPr>
          <w:lang w:val="en-US"/>
        </w:rPr>
      </w:pPr>
      <w:r>
        <w:rPr>
          <w:rFonts w:hint="eastAsia"/>
          <w:lang w:val="en-US"/>
        </w:rPr>
        <w:t>2.开题报告结束后，督促学生将开题报告专家签字页扫描拍照保存，并按专家意见认真修改《开题报告》，最终在开题报告结束后3天左右（最晚不超过6月29日），将学生的开题材料递交专业学位教育中心</w:t>
      </w:r>
      <w:r>
        <w:rPr>
          <w:lang w:val="en-US"/>
        </w:rPr>
        <w:t>EMBA项目办公室（江湾楼221办公室-田红萍老师）</w:t>
      </w:r>
      <w:r>
        <w:rPr>
          <w:rFonts w:hint="eastAsia"/>
          <w:lang w:val="en-US"/>
        </w:rPr>
        <w:t>。递交的开题材料可以是电子版。包括：</w:t>
      </w:r>
    </w:p>
    <w:p>
      <w:pPr>
        <w:spacing w:line="360" w:lineRule="auto"/>
        <w:ind w:firstLine="440"/>
        <w:jc w:val="both"/>
        <w:rPr>
          <w:lang w:val="en-US"/>
        </w:rPr>
      </w:pPr>
      <w:r>
        <w:rPr>
          <w:rFonts w:hint="eastAsia"/>
          <w:b/>
          <w:bCs/>
          <w:lang w:val="en-US"/>
        </w:rPr>
        <w:t>①最终版《开题报告》</w:t>
      </w:r>
      <w:r>
        <w:rPr>
          <w:rFonts w:hint="eastAsia"/>
          <w:lang w:val="en-US"/>
        </w:rPr>
        <w:t>（要求：开题报告内容按要求修改到位，专家签字完整，评审意见和成绩等级完整）</w:t>
      </w:r>
    </w:p>
    <w:p>
      <w:pPr>
        <w:spacing w:line="360" w:lineRule="auto"/>
        <w:ind w:firstLine="440"/>
        <w:jc w:val="both"/>
        <w:rPr>
          <w:lang w:val="en-US"/>
        </w:rPr>
      </w:pPr>
      <w:r>
        <w:rPr>
          <w:rFonts w:hint="eastAsia"/>
          <w:b/>
          <w:bCs/>
          <w:lang w:val="en-US"/>
        </w:rPr>
        <w:t>②《开题报告情况汇总表》</w:t>
      </w:r>
      <w:r>
        <w:rPr>
          <w:rFonts w:hint="eastAsia"/>
          <w:lang w:val="en-US"/>
        </w:rPr>
        <w:t>（要求：学生名单和成绩完整，秘书和主席签字完整）</w:t>
      </w:r>
    </w:p>
    <w:p>
      <w:pPr>
        <w:spacing w:line="360" w:lineRule="auto"/>
        <w:jc w:val="both"/>
        <w:rPr>
          <w:b/>
          <w:bCs/>
          <w:lang w:val="en-US"/>
        </w:rPr>
      </w:pPr>
    </w:p>
    <w:p>
      <w:pPr>
        <w:spacing w:line="360" w:lineRule="auto"/>
        <w:jc w:val="both"/>
        <w:rPr>
          <w:b/>
          <w:bCs/>
          <w:lang w:val="en-US"/>
        </w:rPr>
      </w:pPr>
      <w:r>
        <w:rPr>
          <w:rFonts w:hint="eastAsia"/>
          <w:b/>
          <w:bCs/>
          <w:lang w:val="en-US"/>
        </w:rPr>
        <w:t>三、预答辩流程及要求</w:t>
      </w:r>
    </w:p>
    <w:p>
      <w:pPr>
        <w:spacing w:line="360" w:lineRule="auto"/>
        <w:ind w:firstLine="440" w:firstLineChars="200"/>
        <w:jc w:val="both"/>
        <w:rPr>
          <w:lang w:val="en-US"/>
        </w:rPr>
      </w:pPr>
      <w:r>
        <w:rPr>
          <w:rFonts w:hint="eastAsia"/>
          <w:lang w:val="en-US"/>
        </w:rPr>
        <w:t>预答辩报告会由评审委员会主席主持，采取PPT汇报和答辩相结合的方式进行。</w:t>
      </w:r>
    </w:p>
    <w:p>
      <w:pPr>
        <w:spacing w:line="360" w:lineRule="auto"/>
        <w:ind w:firstLine="440" w:firstLineChars="200"/>
        <w:jc w:val="both"/>
        <w:rPr>
          <w:lang w:val="en-US"/>
        </w:rPr>
      </w:pPr>
      <w:r>
        <w:rPr>
          <w:rFonts w:hint="eastAsia"/>
          <w:lang w:val="en-US"/>
        </w:rPr>
        <w:t>1.预答辩学生采用PPT进行汇报，时间不少于20分钟。</w:t>
      </w:r>
    </w:p>
    <w:p>
      <w:pPr>
        <w:spacing w:line="360" w:lineRule="auto"/>
        <w:ind w:firstLine="440" w:firstLineChars="200"/>
        <w:jc w:val="both"/>
        <w:rPr>
          <w:lang w:val="en-US"/>
        </w:rPr>
      </w:pPr>
      <w:r>
        <w:rPr>
          <w:rFonts w:hint="eastAsia"/>
          <w:lang w:val="en-US"/>
        </w:rPr>
        <w:t>2.评审委员会专家就学生的学位论文进行提问，学生回答。答辩时间由评审委员会专家自行把握，一般为10分钟左右。</w:t>
      </w:r>
    </w:p>
    <w:p>
      <w:pPr>
        <w:spacing w:line="360" w:lineRule="auto"/>
        <w:ind w:firstLine="440" w:firstLineChars="200"/>
        <w:jc w:val="both"/>
        <w:rPr>
          <w:lang w:val="en-US"/>
        </w:rPr>
      </w:pPr>
      <w:r>
        <w:rPr>
          <w:rFonts w:hint="eastAsia"/>
          <w:lang w:val="en-US"/>
        </w:rPr>
        <w:t>3.预答辩报告会结束后，评审委员会进行集体评议，给出评审意见、评定结果，并在学生的《预审专家意见表》上签字。同时，评审委员会主席还需要在《中南大学研究生学位论文预答辩报告情况汇总表》上签字。</w:t>
      </w:r>
    </w:p>
    <w:p>
      <w:pPr>
        <w:spacing w:line="360" w:lineRule="auto"/>
        <w:jc w:val="both"/>
        <w:rPr>
          <w:b/>
          <w:bCs/>
          <w:lang w:val="en-US"/>
        </w:rPr>
      </w:pPr>
      <w:r>
        <w:rPr>
          <w:rFonts w:hint="eastAsia"/>
          <w:b/>
          <w:bCs/>
          <w:lang w:val="en-US"/>
        </w:rPr>
        <w:t>四、预答辩材料提交及要求</w:t>
      </w:r>
    </w:p>
    <w:p>
      <w:pPr>
        <w:spacing w:line="360" w:lineRule="auto"/>
        <w:ind w:firstLine="440"/>
        <w:jc w:val="both"/>
        <w:rPr>
          <w:lang w:val="en-US"/>
        </w:rPr>
      </w:pPr>
      <w:r>
        <w:rPr>
          <w:rFonts w:hint="eastAsia"/>
          <w:lang w:val="en-US"/>
        </w:rPr>
        <w:t>预答辩报告会结束后，评审委员会秘书需要汇总预答辩报告会相关材料，具体包括：</w:t>
      </w:r>
    </w:p>
    <w:p>
      <w:pPr>
        <w:spacing w:line="360" w:lineRule="auto"/>
        <w:ind w:firstLine="440"/>
        <w:jc w:val="both"/>
        <w:rPr>
          <w:lang w:val="en-US"/>
        </w:rPr>
      </w:pPr>
      <w:r>
        <w:rPr>
          <w:rFonts w:hint="eastAsia"/>
          <w:lang w:val="en-US"/>
        </w:rPr>
        <w:t>1.预答辩报告过程中，在学生纸质版《预审专家意见表》上填写专家评审意见和评定结果，提醒评审委员会专家在学生《预审专家意见表》上签字，并提醒评审委员会主席在《预答辩报告情况汇总表》上签字。</w:t>
      </w:r>
    </w:p>
    <w:p>
      <w:pPr>
        <w:spacing w:line="360" w:lineRule="auto"/>
        <w:ind w:firstLine="440"/>
        <w:jc w:val="both"/>
        <w:rPr>
          <w:lang w:val="en-US"/>
        </w:rPr>
      </w:pPr>
      <w:r>
        <w:rPr>
          <w:rFonts w:hint="eastAsia"/>
          <w:lang w:val="en-US"/>
        </w:rPr>
        <w:t>2.预答辩报告结束后，</w:t>
      </w:r>
      <w:r>
        <w:rPr>
          <w:rFonts w:hint="eastAsia"/>
          <w:b/>
          <w:bCs/>
          <w:lang w:val="en-US"/>
        </w:rPr>
        <w:t>督促学生将《预审专家意见表》扫描拍照保存，以备下学期答辩流程使用</w:t>
      </w:r>
      <w:r>
        <w:rPr>
          <w:rFonts w:hint="eastAsia"/>
          <w:lang w:val="en-US"/>
        </w:rPr>
        <w:t>。在预答辩报告结束后3天左右（最晚不超过6月29日），将学生的预答辩材料递交专业学位教育中心</w:t>
      </w:r>
      <w:r>
        <w:rPr>
          <w:lang w:val="en-US"/>
        </w:rPr>
        <w:t>EMBA项目办公室（江湾楼221办公室-田红萍老师）</w:t>
      </w:r>
      <w:r>
        <w:rPr>
          <w:rFonts w:hint="eastAsia"/>
          <w:lang w:val="en-US"/>
        </w:rPr>
        <w:t>，</w:t>
      </w:r>
      <w:r>
        <w:rPr>
          <w:rFonts w:hint="eastAsia"/>
          <w:b/>
          <w:bCs/>
          <w:lang w:val="en-US"/>
        </w:rPr>
        <w:t>提交的材料可以是电子版（纸质版也可以）</w:t>
      </w:r>
      <w:r>
        <w:rPr>
          <w:rFonts w:hint="eastAsia"/>
          <w:lang w:val="en-US"/>
        </w:rPr>
        <w:t>。包括：</w:t>
      </w:r>
    </w:p>
    <w:p>
      <w:pPr>
        <w:spacing w:line="360" w:lineRule="auto"/>
        <w:ind w:firstLine="440"/>
        <w:jc w:val="both"/>
        <w:rPr>
          <w:lang w:val="en-US"/>
        </w:rPr>
      </w:pPr>
      <w:r>
        <w:rPr>
          <w:rFonts w:hint="eastAsia"/>
          <w:b/>
          <w:bCs/>
          <w:lang w:val="en-US"/>
        </w:rPr>
        <w:t>①《预审专家意见表》</w:t>
      </w:r>
      <w:r>
        <w:rPr>
          <w:rFonts w:hint="eastAsia"/>
          <w:lang w:val="en-US"/>
        </w:rPr>
        <w:t>（要求：信息完整、导师和专家签字完整，评审意见和成绩等级完整）。</w:t>
      </w:r>
    </w:p>
    <w:p>
      <w:pPr>
        <w:spacing w:line="360" w:lineRule="auto"/>
        <w:ind w:firstLine="440"/>
        <w:jc w:val="both"/>
        <w:rPr>
          <w:lang w:val="en-US"/>
        </w:rPr>
      </w:pPr>
      <w:r>
        <w:rPr>
          <w:rFonts w:hint="eastAsia"/>
          <w:b/>
          <w:bCs/>
          <w:lang w:val="en-US"/>
        </w:rPr>
        <w:t>②《预答辩报告情况汇总表》</w:t>
      </w:r>
      <w:r>
        <w:rPr>
          <w:rFonts w:hint="eastAsia"/>
          <w:lang w:val="en-US"/>
        </w:rPr>
        <w:t>（要求：学生名单和成绩完整，秘书和主席签字完整）。</w:t>
      </w:r>
    </w:p>
    <w:p>
      <w:pPr>
        <w:spacing w:line="360" w:lineRule="auto"/>
        <w:ind w:firstLine="440"/>
        <w:jc w:val="both"/>
        <w:rPr>
          <w:b/>
          <w:bCs/>
          <w:lang w:val="en-US"/>
        </w:rPr>
      </w:pPr>
      <w:r>
        <w:rPr>
          <w:rFonts w:hint="eastAsia"/>
          <w:b/>
          <w:bCs/>
          <w:lang w:val="en-US"/>
        </w:rPr>
        <w:t>③社会实践材料</w:t>
      </w:r>
    </w:p>
    <w:p>
      <w:pPr>
        <w:spacing w:line="360" w:lineRule="auto"/>
        <w:ind w:firstLine="440"/>
        <w:jc w:val="both"/>
        <w:rPr>
          <w:lang w:val="en-US"/>
        </w:rPr>
      </w:pPr>
      <w:r>
        <w:rPr>
          <w:rFonts w:hint="eastAsia"/>
          <w:b/>
          <w:bCs/>
          <w:lang w:val="en-US"/>
        </w:rPr>
        <w:t>④学术交流材料</w:t>
      </w:r>
    </w:p>
    <w:p>
      <w:pPr>
        <w:spacing w:line="360" w:lineRule="auto"/>
        <w:ind w:firstLine="440" w:firstLineChars="200"/>
        <w:jc w:val="both"/>
        <w:rPr>
          <w:lang w:val="en-US"/>
        </w:rPr>
      </w:pPr>
    </w:p>
    <w:p>
      <w:pPr>
        <w:spacing w:line="360" w:lineRule="auto"/>
        <w:jc w:val="both"/>
        <w:rPr>
          <w:lang w:val="en-US"/>
        </w:rPr>
      </w:pPr>
    </w:p>
    <w:sectPr>
      <w:pgSz w:w="16838" w:h="11906" w:orient="landscape"/>
      <w:pgMar w:top="1134" w:right="1440" w:bottom="1134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FjYjhmNzU1NjhjZTk3N2UxYTQ2OGYxYTIzOGM4YjIifQ=="/>
  </w:docVars>
  <w:rsids>
    <w:rsidRoot w:val="002272AB"/>
    <w:rsid w:val="00087C12"/>
    <w:rsid w:val="00170A66"/>
    <w:rsid w:val="002272AB"/>
    <w:rsid w:val="00245A92"/>
    <w:rsid w:val="002806EA"/>
    <w:rsid w:val="003B6349"/>
    <w:rsid w:val="00CB1542"/>
    <w:rsid w:val="00D2359F"/>
    <w:rsid w:val="00DD13F0"/>
    <w:rsid w:val="00F0103E"/>
    <w:rsid w:val="00FA18C1"/>
    <w:rsid w:val="04890549"/>
    <w:rsid w:val="0D9C49BC"/>
    <w:rsid w:val="13851F55"/>
    <w:rsid w:val="194B7296"/>
    <w:rsid w:val="23A55D5C"/>
    <w:rsid w:val="32A4229E"/>
    <w:rsid w:val="3DF80EEB"/>
    <w:rsid w:val="6A2C5C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zh-CN" w:eastAsia="zh-CN" w:bidi="zh-CN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b/>
      <w:bCs/>
      <w:sz w:val="36"/>
      <w:szCs w:val="36"/>
    </w:rPr>
  </w:style>
  <w:style w:type="paragraph" w:styleId="3">
    <w:name w:val="footer"/>
    <w:basedOn w:val="1"/>
    <w:link w:val="13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4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7">
    <w:name w:val="Table Paragraph"/>
    <w:basedOn w:val="1"/>
    <w:qFormat/>
    <w:uiPriority w:val="1"/>
  </w:style>
  <w:style w:type="character" w:customStyle="1" w:styleId="8">
    <w:name w:val="font11"/>
    <w:basedOn w:val="6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9">
    <w:name w:val="NormalCharacter"/>
    <w:qFormat/>
    <w:uiPriority w:val="0"/>
  </w:style>
  <w:style w:type="character" w:customStyle="1" w:styleId="10">
    <w:name w:val="font21"/>
    <w:basedOn w:val="6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1">
    <w:name w:val="font41"/>
    <w:basedOn w:val="6"/>
    <w:qFormat/>
    <w:uiPriority w:val="0"/>
    <w:rPr>
      <w:rFonts w:hint="default" w:ascii="Times New Roman" w:hAnsi="Times New Roman" w:cs="Times New Roman"/>
      <w:color w:val="000000"/>
      <w:sz w:val="21"/>
      <w:szCs w:val="21"/>
      <w:u w:val="none"/>
    </w:rPr>
  </w:style>
  <w:style w:type="character" w:customStyle="1" w:styleId="12">
    <w:name w:val="页眉 Char"/>
    <w:basedOn w:val="6"/>
    <w:link w:val="4"/>
    <w:qFormat/>
    <w:uiPriority w:val="0"/>
    <w:rPr>
      <w:rFonts w:ascii="宋体" w:hAnsi="宋体" w:cs="宋体"/>
      <w:sz w:val="18"/>
      <w:szCs w:val="18"/>
      <w:lang w:val="zh-CN" w:bidi="zh-CN"/>
    </w:rPr>
  </w:style>
  <w:style w:type="character" w:customStyle="1" w:styleId="13">
    <w:name w:val="页脚 Char"/>
    <w:basedOn w:val="6"/>
    <w:link w:val="3"/>
    <w:qFormat/>
    <w:uiPriority w:val="0"/>
    <w:rPr>
      <w:rFonts w:ascii="宋体" w:hAnsi="宋体" w:cs="宋体"/>
      <w:sz w:val="18"/>
      <w:szCs w:val="18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243</Words>
  <Characters>1388</Characters>
  <Lines>11</Lines>
  <Paragraphs>3</Paragraphs>
  <TotalTime>14</TotalTime>
  <ScaleCrop>false</ScaleCrop>
  <LinksUpToDate>false</LinksUpToDate>
  <CharactersWithSpaces>1628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2023-06-19T08:36:00Z</dcterms:created>
  <dc:creator>User</dc:creator>
  <cp:lastModifiedBy>红烧鱼头</cp:lastModifiedBy>
  <cp:lastPrinted>2023-06-16T09:08:00Z</cp:lastPrinted>
  <dcterms:modified xsi:type="dcterms:W3CDTF">2023-06-24T13:21:10Z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  <property fmtid="{D5CDD505-2E9C-101B-9397-08002B2CF9AE}" pid="3" name="ICV">
    <vt:lpwstr>EFF0AF24C7754D2B96C88411D9381E14_12</vt:lpwstr>
  </property>
</Properties>
</file>