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tabs>
          <w:tab w:val="left" w:pos="5192"/>
        </w:tabs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中南大学</w:t>
      </w:r>
      <w:r>
        <w:rPr>
          <w:rFonts w:hint="default"/>
          <w:b/>
          <w:sz w:val="44"/>
          <w:szCs w:val="44"/>
          <w:lang w:val="en-US" w:eastAsia="zh-CN"/>
        </w:rPr>
        <w:t>学位论文质量检测系统</w:t>
      </w:r>
      <w:r>
        <w:rPr>
          <w:rFonts w:hint="eastAsia"/>
          <w:b/>
          <w:sz w:val="44"/>
          <w:szCs w:val="44"/>
          <w:lang w:val="en-US" w:eastAsia="zh-CN"/>
        </w:rPr>
        <w:t>说明书</w:t>
      </w:r>
    </w:p>
    <w:p>
      <w:pPr>
        <w:tabs>
          <w:tab w:val="left" w:pos="5192"/>
        </w:tabs>
        <w:jc w:val="right"/>
        <w:rPr>
          <w:rFonts w:hint="default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-学生</w:t>
      </w:r>
    </w:p>
    <w:p>
      <w:pPr>
        <w:tabs>
          <w:tab w:val="left" w:pos="5192"/>
        </w:tabs>
        <w:jc w:val="both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学生登陆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登陆中南大学研究生管理信息系统后点击个人中心-学位论文质量检测平台进行跳转登陆。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初始登陆系统需要绑定手机，并修改密码（初始密码为学号），完成后登陆只需从管理信息系统登入即可。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9295765" cy="5704205"/>
            <wp:effectExtent l="0" t="0" r="635" b="10795"/>
            <wp:docPr id="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5765" cy="570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质量检测</w:t>
      </w:r>
      <w:r>
        <w:rPr>
          <w:rFonts w:hint="eastAsia"/>
          <w:b/>
          <w:sz w:val="44"/>
          <w:szCs w:val="44"/>
        </w:rPr>
        <w:t>第二阶段</w:t>
      </w:r>
      <w:r>
        <w:rPr>
          <w:rFonts w:hint="eastAsia"/>
          <w:b/>
          <w:sz w:val="44"/>
          <w:szCs w:val="44"/>
          <w:lang w:val="en-US" w:eastAsia="zh-CN"/>
        </w:rPr>
        <w:t>---正式检测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（论文提交、检测）-学生</w:t>
      </w:r>
      <w:bookmarkStart w:id="0" w:name="_Toc6241332"/>
    </w:p>
    <w:p>
      <w:pPr>
        <w:jc w:val="center"/>
        <w:rPr>
          <w:b/>
          <w:sz w:val="44"/>
          <w:szCs w:val="44"/>
        </w:rPr>
      </w:pPr>
    </w:p>
    <w:sdt>
      <w:sdtPr>
        <w:rPr>
          <w:rFonts w:ascii="等线" w:hAnsi="等线" w:eastAsia="等线" w:cs="Times New Roman"/>
          <w:lang w:val="zh-CN"/>
        </w:rPr>
        <w:id w:val="-1960790649"/>
        <w:docPartObj>
          <w:docPartGallery w:val="Table of Contents"/>
          <w:docPartUnique/>
        </w:docPartObj>
      </w:sdtPr>
      <w:sdtEndPr>
        <w:rPr>
          <w:rFonts w:ascii="等线" w:hAnsi="等线" w:eastAsia="等线" w:cs="Times New Roman"/>
          <w:b/>
          <w:bCs/>
          <w:lang w:val="zh-CN"/>
        </w:rPr>
      </w:sdtEndPr>
      <w:sdtContent>
        <w:p>
          <w:pPr>
            <w:keepNext/>
            <w:keepLines/>
            <w:widowControl/>
            <w:spacing w:before="240" w:line="259" w:lineRule="auto"/>
            <w:jc w:val="center"/>
            <w:rPr>
              <w:rFonts w:ascii="宋体" w:hAnsi="宋体" w:eastAsia="宋体" w:cs="Times New Roman"/>
              <w:b/>
              <w:color w:val="2F5496"/>
              <w:kern w:val="0"/>
              <w:sz w:val="32"/>
              <w:szCs w:val="32"/>
            </w:rPr>
          </w:pPr>
        </w:p>
        <w:p>
          <w:pPr>
            <w:pStyle w:val="7"/>
            <w:tabs>
              <w:tab w:val="right" w:leader="dot" w:pos="14678"/>
            </w:tabs>
            <w:rPr>
              <w:b/>
              <w:bCs/>
              <w:sz w:val="30"/>
              <w:szCs w:val="30"/>
            </w:rPr>
          </w:pP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instrText xml:space="preserve"> TOC \o "1-3" \h \z \u </w:instrText>
          </w:r>
          <w:r>
            <w:rPr>
              <w:rFonts w:ascii="宋体" w:hAnsi="宋体" w:eastAsia="宋体" w:cs="Times New Roman"/>
              <w:b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instrText xml:space="preserve"> HYPERLINK \l _Toc25227 </w:instrText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separate"/>
          </w:r>
          <w:r>
            <w:rPr>
              <w:rFonts w:hint="eastAsia" w:ascii="宋体" w:hAnsi="宋体" w:eastAsia="宋体"/>
              <w:b/>
              <w:bCs/>
              <w:sz w:val="30"/>
              <w:szCs w:val="30"/>
            </w:rPr>
            <w:t>一、流程</w:t>
          </w:r>
          <w:r>
            <w:rPr>
              <w:b/>
              <w:bCs/>
              <w:sz w:val="30"/>
              <w:szCs w:val="30"/>
            </w:rPr>
            <w:tab/>
          </w: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PAGEREF _Toc25227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r>
            <w:rPr>
              <w:b/>
              <w:bCs/>
              <w:sz w:val="30"/>
              <w:szCs w:val="30"/>
            </w:rPr>
            <w:t>1</w:t>
          </w:r>
          <w:r>
            <w:rPr>
              <w:b/>
              <w:bCs/>
              <w:sz w:val="30"/>
              <w:szCs w:val="30"/>
            </w:rPr>
            <w:fldChar w:fldCharType="end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14678"/>
            </w:tabs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</w:pP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begin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instrText xml:space="preserve"> HYPERLINK \l _Toc8539 </w:instrText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separate"/>
          </w:r>
          <w:r>
            <w:rPr>
              <w:rFonts w:ascii="宋体" w:hAnsi="宋体" w:eastAsia="宋体"/>
              <w:b/>
              <w:bCs/>
              <w:sz w:val="30"/>
              <w:szCs w:val="30"/>
            </w:rPr>
            <w:t>二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</w:rPr>
            <w:t>、学生提交论文检测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eastAsia="zh-CN"/>
            </w:rPr>
            <w:t>（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val="en-US" w:eastAsia="zh-CN"/>
            </w:rPr>
            <w:t>含最终版提交指南</w:t>
          </w:r>
          <w:r>
            <w:rPr>
              <w:rFonts w:hint="eastAsia" w:ascii="宋体" w:hAnsi="宋体" w:eastAsia="宋体"/>
              <w:b/>
              <w:bCs/>
              <w:sz w:val="30"/>
              <w:szCs w:val="30"/>
              <w:lang w:eastAsia="zh-CN"/>
            </w:rPr>
            <w:t>）</w:t>
          </w:r>
          <w:r>
            <w:rPr>
              <w:b/>
              <w:bCs/>
              <w:sz w:val="30"/>
              <w:szCs w:val="30"/>
            </w:rPr>
            <w:tab/>
          </w:r>
          <w:r>
            <w:rPr>
              <w:b/>
              <w:bCs/>
              <w:sz w:val="30"/>
              <w:szCs w:val="30"/>
            </w:rPr>
            <w:fldChar w:fldCharType="begin"/>
          </w:r>
          <w:r>
            <w:rPr>
              <w:b/>
              <w:bCs/>
              <w:sz w:val="30"/>
              <w:szCs w:val="30"/>
            </w:rPr>
            <w:instrText xml:space="preserve"> PAGEREF _Toc8539 </w:instrText>
          </w:r>
          <w:r>
            <w:rPr>
              <w:b/>
              <w:bCs/>
              <w:sz w:val="30"/>
              <w:szCs w:val="30"/>
            </w:rPr>
            <w:fldChar w:fldCharType="separate"/>
          </w:r>
          <w:r>
            <w:rPr>
              <w:b/>
              <w:bCs/>
              <w:sz w:val="30"/>
              <w:szCs w:val="30"/>
            </w:rPr>
            <w:t>3</w:t>
          </w:r>
          <w:r>
            <w:rPr>
              <w:b/>
              <w:bCs/>
              <w:sz w:val="30"/>
              <w:szCs w:val="30"/>
            </w:rPr>
            <w:fldChar w:fldCharType="end"/>
          </w:r>
          <w:r>
            <w:rPr>
              <w:rFonts w:ascii="宋体" w:hAnsi="宋体" w:eastAsia="宋体" w:cs="Times New Roman"/>
              <w:b/>
              <w:bCs/>
              <w:sz w:val="30"/>
              <w:szCs w:val="30"/>
              <w:lang w:val="zh-CN"/>
            </w:rPr>
            <w:fldChar w:fldCharType="end"/>
          </w:r>
        </w:p>
        <w:p>
          <w:pPr>
            <w:rPr>
              <w:rFonts w:hint="default" w:eastAsia="宋体"/>
              <w:lang w:val="en-US" w:eastAsia="zh-CN"/>
            </w:rPr>
          </w:pPr>
        </w:p>
        <w:p>
          <w:pPr>
            <w:adjustRightInd w:val="0"/>
            <w:snapToGrid w:val="0"/>
            <w:spacing w:line="480" w:lineRule="auto"/>
            <w:jc w:val="center"/>
            <w:rPr>
              <w:rFonts w:ascii="等线" w:hAnsi="等线" w:eastAsia="等线" w:cs="Times New Roman"/>
              <w:b/>
              <w:bCs/>
              <w:lang w:val="zh-CN"/>
            </w:rPr>
          </w:pPr>
          <w:r>
            <w:rPr>
              <w:rFonts w:ascii="宋体" w:hAnsi="宋体" w:eastAsia="宋体" w:cs="Times New Roman"/>
              <w:bCs/>
              <w:szCs w:val="32"/>
              <w:lang w:val="zh-CN"/>
            </w:rPr>
            <w:fldChar w:fldCharType="end"/>
          </w:r>
        </w:p>
      </w:sdtContent>
    </w:sdt>
    <w:p>
      <w:pPr>
        <w:rPr>
          <w:rFonts w:ascii="宋体" w:hAnsi="宋体" w:eastAsia="宋体"/>
          <w:b/>
          <w:sz w:val="28"/>
          <w:szCs w:val="28"/>
        </w:rPr>
      </w:pPr>
    </w:p>
    <w:p>
      <w:pPr>
        <w:pStyle w:val="3"/>
        <w:jc w:val="center"/>
        <w:rPr>
          <w:rFonts w:ascii="宋体" w:hAnsi="宋体" w:eastAsia="宋体"/>
        </w:rPr>
      </w:pPr>
      <w:bookmarkStart w:id="1" w:name="_Toc25227"/>
      <w:r>
        <w:rPr>
          <w:rFonts w:hint="eastAsia" w:ascii="宋体" w:hAnsi="宋体" w:eastAsia="宋体"/>
        </w:rPr>
        <w:t>一、流程</w:t>
      </w:r>
      <w:bookmarkEnd w:id="0"/>
      <w:bookmarkEnd w:id="1"/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647700</wp:posOffset>
            </wp:positionV>
            <wp:extent cx="5000625" cy="4164965"/>
            <wp:effectExtent l="0" t="0" r="9525" b="0"/>
            <wp:wrapTight wrapText="bothSides">
              <wp:wrapPolygon>
                <wp:start x="0" y="0"/>
                <wp:lineTo x="0" y="21537"/>
                <wp:lineTo x="21559" y="21537"/>
                <wp:lineTo x="21559" y="0"/>
                <wp:lineTo x="0" y="0"/>
              </wp:wrapPolygon>
            </wp:wrapTight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614680</wp:posOffset>
            </wp:positionV>
            <wp:extent cx="3105150" cy="3057525"/>
            <wp:effectExtent l="0" t="0" r="0" b="9525"/>
            <wp:wrapThrough wrapText="bothSides">
              <wp:wrapPolygon>
                <wp:start x="0" y="0"/>
                <wp:lineTo x="0" y="21533"/>
                <wp:lineTo x="21467" y="21533"/>
                <wp:lineTo x="21467" y="0"/>
                <wp:lineTo x="0" y="0"/>
              </wp:wrapPolygon>
            </wp:wrapThrough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学术不端行为检测分为学生自由检测和正式检测，学生自由检测有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次。第一次检测为学生自由检测，第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次为正式检测，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正式通过后，送审版提交到送审版</w:t>
      </w:r>
      <w:r>
        <w:rPr>
          <w:rFonts w:hint="eastAsia" w:ascii="宋体" w:hAnsi="宋体" w:eastAsia="宋体"/>
          <w:sz w:val="28"/>
          <w:szCs w:val="28"/>
        </w:rPr>
        <w:t>。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学生自由检测和正式检测均在提交学位论文送检版中进行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sz w:val="28"/>
          <w:szCs w:val="28"/>
        </w:rPr>
      </w:pPr>
    </w:p>
    <w:p>
      <w:pPr>
        <w:jc w:val="center"/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2" w:name="_Toc6241333"/>
    </w:p>
    <w:p>
      <w:pPr>
        <w:pStyle w:val="3"/>
        <w:numPr>
          <w:ilvl w:val="0"/>
          <w:numId w:val="1"/>
        </w:numPr>
        <w:jc w:val="center"/>
        <w:rPr>
          <w:rFonts w:hint="eastAsia" w:ascii="宋体" w:hAnsi="宋体" w:eastAsia="宋体"/>
        </w:rPr>
      </w:pPr>
      <w:bookmarkStart w:id="3" w:name="_Toc8539"/>
      <w:r>
        <w:rPr>
          <w:rFonts w:hint="eastAsia" w:ascii="宋体" w:hAnsi="宋体" w:eastAsia="宋体"/>
        </w:rPr>
        <w:t>学生提交</w:t>
      </w:r>
      <w:bookmarkEnd w:id="2"/>
      <w:r>
        <w:rPr>
          <w:rFonts w:hint="eastAsia" w:ascii="宋体" w:hAnsi="宋体" w:eastAsia="宋体"/>
        </w:rPr>
        <w:t>论文</w:t>
      </w:r>
      <w:r>
        <w:rPr>
          <w:rFonts w:hint="eastAsia" w:ascii="宋体" w:hAnsi="宋体" w:eastAsia="宋体"/>
          <w:lang w:eastAsia="zh-CN"/>
        </w:rPr>
        <w:t>正式</w:t>
      </w:r>
      <w:r>
        <w:rPr>
          <w:rFonts w:hint="eastAsia" w:ascii="宋体" w:hAnsi="宋体" w:eastAsia="宋体"/>
        </w:rPr>
        <w:t>检测</w:t>
      </w:r>
      <w:bookmarkEnd w:id="3"/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学生第二次检测阶段（正式检测-导师确认后检测）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（一）点击“过程文档管理”-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学位论文送检版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，进入论文提交页面。</w:t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前一次检测完成后，即可出现新的“提交文档”的按钮，此时可以提交下一次待检测的论文。流程</w:t>
      </w:r>
      <w:r>
        <w:rPr>
          <w:rFonts w:hint="eastAsia" w:ascii="宋体" w:hAnsi="宋体" w:eastAsia="宋体"/>
          <w:sz w:val="28"/>
          <w:szCs w:val="28"/>
          <w:lang w:eastAsia="zh-CN"/>
        </w:rPr>
        <w:t>与自由检测</w:t>
      </w:r>
      <w:r>
        <w:rPr>
          <w:rFonts w:hint="eastAsia" w:ascii="宋体" w:hAnsi="宋体" w:eastAsia="宋体"/>
          <w:sz w:val="28"/>
          <w:szCs w:val="28"/>
        </w:rPr>
        <w:t>提交相同。</w:t>
      </w:r>
    </w:p>
    <w:p>
      <w:pPr>
        <w:widowControl/>
        <w:jc w:val="center"/>
      </w:pPr>
      <w:r>
        <w:drawing>
          <wp:inline distT="0" distB="0" distL="114300" distR="114300">
            <wp:extent cx="8466455" cy="3335655"/>
            <wp:effectExtent l="0" t="0" r="10795" b="1714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66455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点击“选择待检测文档”，选择待检测的论文，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选择格式检查模板，</w:t>
      </w:r>
      <w:r>
        <w:rPr>
          <w:rFonts w:hint="eastAsia" w:ascii="宋体" w:hAnsi="宋体" w:eastAsia="宋体"/>
          <w:sz w:val="28"/>
          <w:szCs w:val="28"/>
        </w:rPr>
        <w:t>然后提交。</w:t>
      </w:r>
    </w:p>
    <w:p>
      <w:pPr>
        <w:widowControl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（注：指导教师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前，学生可以随时登陆系统，点击修改）</w:t>
      </w:r>
    </w:p>
    <w:p>
      <w:pPr>
        <w:widowControl/>
        <w:jc w:val="left"/>
      </w:pPr>
      <w:r>
        <w:drawing>
          <wp:inline distT="0" distB="0" distL="114300" distR="114300">
            <wp:extent cx="7752080" cy="3483610"/>
            <wp:effectExtent l="0" t="0" r="1270" b="254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52080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359" w:leftChars="171"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提交成功后，进入如下图所示：</w:t>
      </w:r>
    </w:p>
    <w:p>
      <w:pPr>
        <w:widowControl/>
        <w:jc w:val="left"/>
      </w:pPr>
      <w:r>
        <w:drawing>
          <wp:inline distT="0" distB="0" distL="114300" distR="114300">
            <wp:extent cx="9311640" cy="2981960"/>
            <wp:effectExtent l="0" t="0" r="3810" b="889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1164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注：指导教师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前，可随时对提交内容进行修改。指导教师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确认检测</w:t>
      </w:r>
      <w:r>
        <w:rPr>
          <w:rFonts w:hint="eastAsia" w:ascii="宋体" w:hAnsi="宋体" w:eastAsia="宋体"/>
          <w:sz w:val="28"/>
          <w:szCs w:val="28"/>
        </w:rPr>
        <w:t>后立刻进行检测。</w:t>
      </w:r>
    </w:p>
    <w:p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检测结果查看</w:t>
      </w:r>
    </w:p>
    <w:p>
      <w:pPr>
        <w:widowControl/>
        <w:ind w:firstLine="562" w:firstLineChars="20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指导教师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确认检测后</w:t>
      </w:r>
      <w:r>
        <w:rPr>
          <w:rFonts w:hint="eastAsia" w:ascii="宋体" w:hAnsi="宋体" w:eastAsia="宋体"/>
          <w:b/>
          <w:sz w:val="28"/>
          <w:szCs w:val="28"/>
        </w:rPr>
        <w:t>，立刻进行检测，完成后，可以看到检测结果。</w:t>
      </w:r>
    </w:p>
    <w:p>
      <w:pPr>
        <w:widowControl/>
        <w:jc w:val="center"/>
      </w:pPr>
      <w:r>
        <w:drawing>
          <wp:inline distT="0" distB="0" distL="0" distR="0">
            <wp:extent cx="2470150" cy="1037590"/>
            <wp:effectExtent l="0" t="0" r="13970" b="1397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ajorBidi"/>
          <w:b/>
          <w:bCs/>
          <w:kern w:val="2"/>
          <w:sz w:val="32"/>
          <w:szCs w:val="32"/>
          <w:lang w:val="en-US" w:eastAsia="zh-CN" w:bidi="ar-SA"/>
        </w:rPr>
        <w:t>送审版提交</w:t>
      </w:r>
    </w:p>
    <w:p>
      <w:pPr>
        <w:widowControl/>
        <w:numPr>
          <w:ilvl w:val="0"/>
          <w:numId w:val="2"/>
        </w:num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点击“过程文档管理”-</w:t>
      </w:r>
      <w:r>
        <w:rPr>
          <w:rFonts w:ascii="宋体" w:hAnsi="宋体" w:eastAsia="宋体"/>
          <w:sz w:val="28"/>
          <w:szCs w:val="28"/>
        </w:rPr>
        <w:t>--“</w:t>
      </w:r>
      <w:r>
        <w:rPr>
          <w:rFonts w:hint="eastAsia" w:ascii="宋体" w:hAnsi="宋体" w:eastAsia="宋体"/>
          <w:sz w:val="28"/>
          <w:szCs w:val="28"/>
        </w:rPr>
        <w:t>提交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学位论文送审版</w:t>
      </w:r>
      <w:r>
        <w:rPr>
          <w:rFonts w:ascii="宋体" w:hAnsi="宋体" w:eastAsia="宋体"/>
          <w:sz w:val="28"/>
          <w:szCs w:val="28"/>
        </w:rPr>
        <w:t>”</w:t>
      </w:r>
      <w:r>
        <w:rPr>
          <w:rFonts w:hint="eastAsia" w:ascii="宋体" w:hAnsi="宋体" w:eastAsia="宋体"/>
          <w:sz w:val="28"/>
          <w:szCs w:val="28"/>
        </w:rPr>
        <w:t>，进入论文提交页面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7842885" cy="2180590"/>
            <wp:effectExtent l="0" t="0" r="5715" b="1016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42885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点击“选择待检测文档”，选择待检测的论文，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选择格式检查模板，</w:t>
      </w:r>
      <w:r>
        <w:rPr>
          <w:rFonts w:hint="eastAsia" w:ascii="宋体" w:hAnsi="宋体" w:eastAsia="宋体"/>
          <w:sz w:val="28"/>
          <w:szCs w:val="28"/>
        </w:rPr>
        <w:t>然后提交</w:t>
      </w:r>
    </w:p>
    <w:p>
      <w:pPr>
        <w:widowControl/>
        <w:numPr>
          <w:ilvl w:val="0"/>
          <w:numId w:val="0"/>
        </w:numPr>
        <w:jc w:val="left"/>
      </w:pPr>
      <w:r>
        <w:drawing>
          <wp:inline distT="0" distB="0" distL="114300" distR="114300">
            <wp:extent cx="8433435" cy="3152140"/>
            <wp:effectExtent l="0" t="0" r="9525" b="2540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33435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Ps：送审版机会只有一次，请确保学位论文检测通过及文章无误后再行提交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771700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18060"/>
    <w:multiLevelType w:val="singleLevel"/>
    <w:tmpl w:val="52F1806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75E974"/>
    <w:multiLevelType w:val="singleLevel"/>
    <w:tmpl w:val="5A75E97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E7"/>
    <w:rsid w:val="0000643A"/>
    <w:rsid w:val="000072F9"/>
    <w:rsid w:val="00025AC9"/>
    <w:rsid w:val="000313E7"/>
    <w:rsid w:val="00062995"/>
    <w:rsid w:val="000650F9"/>
    <w:rsid w:val="000651FE"/>
    <w:rsid w:val="00087F3B"/>
    <w:rsid w:val="00096CC6"/>
    <w:rsid w:val="000F0CEF"/>
    <w:rsid w:val="0011647E"/>
    <w:rsid w:val="0012796D"/>
    <w:rsid w:val="00137E4F"/>
    <w:rsid w:val="001931A5"/>
    <w:rsid w:val="001934D9"/>
    <w:rsid w:val="001C42C7"/>
    <w:rsid w:val="003F08C6"/>
    <w:rsid w:val="003F115F"/>
    <w:rsid w:val="003F3CD8"/>
    <w:rsid w:val="004051EE"/>
    <w:rsid w:val="004141D3"/>
    <w:rsid w:val="004167A1"/>
    <w:rsid w:val="004567DA"/>
    <w:rsid w:val="0046505A"/>
    <w:rsid w:val="00484BF2"/>
    <w:rsid w:val="005271CB"/>
    <w:rsid w:val="0059353D"/>
    <w:rsid w:val="005E09BF"/>
    <w:rsid w:val="00637D65"/>
    <w:rsid w:val="006403D5"/>
    <w:rsid w:val="00654406"/>
    <w:rsid w:val="006B3CB9"/>
    <w:rsid w:val="006C4097"/>
    <w:rsid w:val="007359AB"/>
    <w:rsid w:val="00777109"/>
    <w:rsid w:val="00791824"/>
    <w:rsid w:val="007D1E75"/>
    <w:rsid w:val="0084096B"/>
    <w:rsid w:val="0085585A"/>
    <w:rsid w:val="00866A2A"/>
    <w:rsid w:val="00891304"/>
    <w:rsid w:val="008A7CB3"/>
    <w:rsid w:val="008B27DA"/>
    <w:rsid w:val="008D158B"/>
    <w:rsid w:val="008E2E50"/>
    <w:rsid w:val="009738DB"/>
    <w:rsid w:val="009756A5"/>
    <w:rsid w:val="009C26C2"/>
    <w:rsid w:val="00A535F2"/>
    <w:rsid w:val="00A84102"/>
    <w:rsid w:val="00A91707"/>
    <w:rsid w:val="00AD1575"/>
    <w:rsid w:val="00AF53C1"/>
    <w:rsid w:val="00AF5707"/>
    <w:rsid w:val="00B045E9"/>
    <w:rsid w:val="00B04A70"/>
    <w:rsid w:val="00B05D9A"/>
    <w:rsid w:val="00B44FFC"/>
    <w:rsid w:val="00B6123F"/>
    <w:rsid w:val="00B6670C"/>
    <w:rsid w:val="00B76C28"/>
    <w:rsid w:val="00C35EA3"/>
    <w:rsid w:val="00C64AE6"/>
    <w:rsid w:val="00CB7562"/>
    <w:rsid w:val="00D3179C"/>
    <w:rsid w:val="00D359EB"/>
    <w:rsid w:val="00D43D28"/>
    <w:rsid w:val="00DB1BD1"/>
    <w:rsid w:val="00DF238A"/>
    <w:rsid w:val="00DF640B"/>
    <w:rsid w:val="00E7116B"/>
    <w:rsid w:val="00EB1F14"/>
    <w:rsid w:val="00EC50F6"/>
    <w:rsid w:val="00F623A4"/>
    <w:rsid w:val="00F63B5E"/>
    <w:rsid w:val="00F66F15"/>
    <w:rsid w:val="00F9650D"/>
    <w:rsid w:val="00FA3883"/>
    <w:rsid w:val="00FD65B0"/>
    <w:rsid w:val="00FF3C84"/>
    <w:rsid w:val="0C04381B"/>
    <w:rsid w:val="156225E7"/>
    <w:rsid w:val="2D88100B"/>
    <w:rsid w:val="2FBC1CEF"/>
    <w:rsid w:val="30CC2CEA"/>
    <w:rsid w:val="59195AD1"/>
    <w:rsid w:val="63577169"/>
    <w:rsid w:val="761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806C3F-2C64-4F51-8CB2-2EDA5F197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131</Words>
  <Characters>753</Characters>
  <Lines>6</Lines>
  <Paragraphs>1</Paragraphs>
  <TotalTime>1</TotalTime>
  <ScaleCrop>false</ScaleCrop>
  <LinksUpToDate>false</LinksUpToDate>
  <CharactersWithSpaces>883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2018-10-25T05:37:00Z</dcterms:created>
  <dc:creator>haiyang jiang</dc:creator>
  <cp:lastModifiedBy>其乐融融</cp:lastModifiedBy>
  <dcterms:modified xsi:type="dcterms:W3CDTF">2021-04-08T09:14:59Z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E39B0DA65C214BCF97CEC88A8445D802</vt:lpwstr>
  </property>
</Properties>
</file>